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宋体"/>
          <w:b/>
          <w:sz w:val="32"/>
        </w:rPr>
        <w:t>Trinity AI 模型服务渠道合作协议</w:t>
      </w:r>
    </w:p>
    <w:p>
      <w:pPr>
        <w:spacing w:after="160" w:before="0" w:line="360" w:lineRule="auto"/>
        <w:jc w:val="center"/>
      </w:pPr>
      <w:r>
        <w:rPr>
          <w:rFonts w:ascii="Times New Roman" w:hAnsi="Times New Roman" w:eastAsia="宋体"/>
          <w:b w:val="0"/>
          <w:sz w:val="21"/>
        </w:rPr>
        <w:t>（主协议 · 初版 · 送财务/法务讨论 · 不可直接用章）</w:t>
      </w:r>
    </w:p>
    <w:p>
      <w:pPr>
        <w:spacing w:after="160" w:before="0" w:line="360" w:lineRule="auto"/>
      </w:pPr>
      <w:r>
        <w:rPr>
          <w:rFonts w:ascii="Times New Roman" w:hAnsi="Times New Roman" w:eastAsia="宋体"/>
          <w:b w:val="0"/>
          <w:sz w:val="21"/>
        </w:rPr>
        <w:t>协议编号：【TRINITY-CH-________】</w:t>
      </w:r>
    </w:p>
    <w:p>
      <w:pPr>
        <w:spacing w:after="200" w:before="0" w:line="360" w:lineRule="auto"/>
        <w:ind w:firstLine="420"/>
      </w:pPr>
      <w:r>
        <w:rPr>
          <w:rFonts w:ascii="Times New Roman" w:hAnsi="Times New Roman" w:eastAsia="宋体"/>
          <w:b w:val="0"/>
          <w:sz w:val="18"/>
        </w:rPr>
        <w:t>【起草说明｜不对渠道方展示时可删除】本稿定位为 Trinity AI 模型服务之渠道拓展与返点合作。甲乙方基础信息左右表、附件单独成页，对齐下游框架协议样板。第3.4条成本/税负承担暂按「渠道客户承担」起草，供财务与法务审阅后最终定稿，可改回甲方承担或分档承担。</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fill="F2F4F7" w:val="clear"/>
          </w:tcPr>
          <w:p>
            <w:pPr>
              <w:spacing w:after="0" w:before="0"/>
            </w:pPr>
            <w:r/>
            <w:r>
              <w:rPr>
                <w:rFonts w:ascii="Times New Roman" w:hAnsi="Times New Roman" w:eastAsia="宋体"/>
                <w:b/>
                <w:sz w:val="18"/>
              </w:rPr>
              <w:t>甲方（服务方 / 返点支付方）</w:t>
            </w:r>
          </w:p>
        </w:tc>
        <w:tc>
          <w:tcPr>
            <w:tcW w:type="dxa" w:w="2948"/>
          </w:tcPr>
          <w:p>
            <w:pPr>
              <w:spacing w:after="0" w:before="0"/>
            </w:pPr>
            <w:r/>
            <w:r>
              <w:rPr>
                <w:rFonts w:ascii="Times New Roman" w:hAnsi="Times New Roman" w:eastAsia="宋体"/>
                <w:b w:val="0"/>
                <w:sz w:val="18"/>
              </w:rPr>
              <w:t>【陕西星瀚算力信息科技有限公司 / 或其他 Trinity 指定签约主体】</w:t>
            </w:r>
          </w:p>
        </w:tc>
        <w:tc>
          <w:tcPr>
            <w:tcW w:type="dxa" w:w="1587"/>
            <w:shd w:fill="F2F4F7" w:val="clear"/>
          </w:tcPr>
          <w:p>
            <w:pPr>
              <w:spacing w:after="0" w:before="0"/>
            </w:pPr>
            <w:r/>
            <w:r>
              <w:rPr>
                <w:rFonts w:ascii="Times New Roman" w:hAnsi="Times New Roman" w:eastAsia="宋体"/>
                <w:b/>
                <w:sz w:val="18"/>
              </w:rPr>
              <w:t>乙方（渠道服务方 / 返点收款方）</w:t>
            </w:r>
          </w:p>
        </w:tc>
        <w:tc>
          <w:tcPr>
            <w:tcW w:type="dxa" w:w="2948"/>
          </w:tcPr>
          <w:p>
            <w:pPr>
              <w:spacing w:after="0" w:before="0"/>
            </w:pPr>
            <w:r/>
            <w:r>
              <w:rPr>
                <w:rFonts w:ascii="Times New Roman" w:hAnsi="Times New Roman" w:eastAsia="宋体"/>
                <w:b w:val="0"/>
                <w:sz w:val="18"/>
              </w:rPr>
              <w:t>【渠道商全称】</w:t>
            </w:r>
          </w:p>
        </w:tc>
      </w:tr>
      <w:tr>
        <w:tc>
          <w:tcPr>
            <w:tcW w:type="dxa" w:w="1587"/>
            <w:shd w:fill="F2F4F7" w:val="clear"/>
          </w:tcPr>
          <w:p>
            <w:pPr>
              <w:spacing w:after="0" w:before="0"/>
            </w:pPr>
            <w:r/>
            <w:r>
              <w:rPr>
                <w:rFonts w:ascii="Times New Roman" w:hAnsi="Times New Roman" w:eastAsia="宋体"/>
                <w:b/>
                <w:sz w:val="18"/>
              </w:rPr>
              <w:t>统一社会信用代码/</w:t>
              <w:br/>
              <w:t>注册号</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统一社会信用代码/</w:t>
              <w:br/>
              <w:t>注册号</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地址</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地址</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法定代表人/授权代表</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法定代表人/授权代表</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开户行</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开户行</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银行账号</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银行账号</w:t>
            </w:r>
          </w:p>
        </w:tc>
        <w:tc>
          <w:tcPr>
            <w:tcW w:type="dxa" w:w="2948"/>
          </w:tcPr>
          <w:p>
            <w:pPr>
              <w:spacing w:after="0" w:before="0"/>
            </w:pPr>
            <w:r/>
            <w:r>
              <w:rPr>
                <w:rFonts w:ascii="Times New Roman" w:hAnsi="Times New Roman" w:eastAsia="宋体"/>
                <w:b w:val="0"/>
                <w:sz w:val="18"/>
              </w:rPr>
              <w:t>【按附件一收款账户】</w:t>
            </w:r>
          </w:p>
        </w:tc>
      </w:tr>
      <w:tr>
        <w:tc>
          <w:tcPr>
            <w:tcW w:type="dxa" w:w="1587"/>
            <w:shd w:fill="F2F4F7" w:val="clear"/>
          </w:tcPr>
          <w:p>
            <w:pPr>
              <w:spacing w:after="0" w:before="0"/>
            </w:pPr>
            <w:r/>
            <w:r>
              <w:rPr>
                <w:rFonts w:ascii="Times New Roman" w:hAnsi="Times New Roman" w:eastAsia="宋体"/>
                <w:b/>
                <w:sz w:val="18"/>
              </w:rPr>
              <w:t>联系人</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指定对接人</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电话</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电话</w:t>
            </w:r>
          </w:p>
        </w:tc>
        <w:tc>
          <w:tcPr>
            <w:tcW w:type="dxa" w:w="2948"/>
          </w:tcPr>
          <w:p>
            <w:pPr>
              <w:spacing w:after="0" w:before="0"/>
            </w:pPr>
            <w:r/>
            <w:r>
              <w:rPr>
                <w:rFonts w:ascii="Times New Roman" w:hAnsi="Times New Roman" w:eastAsia="宋体"/>
                <w:b w:val="0"/>
                <w:sz w:val="18"/>
              </w:rPr>
              <w:t>【　　　　　　　　】</w:t>
            </w:r>
          </w:p>
        </w:tc>
      </w:tr>
      <w:tr>
        <w:tc>
          <w:tcPr>
            <w:tcW w:type="dxa" w:w="1587"/>
            <w:shd w:fill="F2F4F7" w:val="clear"/>
          </w:tcPr>
          <w:p>
            <w:pPr>
              <w:spacing w:after="0" w:before="0"/>
            </w:pPr>
            <w:r/>
            <w:r>
              <w:rPr>
                <w:rFonts w:ascii="Times New Roman" w:hAnsi="Times New Roman" w:eastAsia="宋体"/>
                <w:b/>
                <w:sz w:val="18"/>
              </w:rPr>
              <w:t>电子邮箱</w:t>
            </w:r>
          </w:p>
        </w:tc>
        <w:tc>
          <w:tcPr>
            <w:tcW w:type="dxa" w:w="2948"/>
          </w:tcPr>
          <w:p>
            <w:pPr>
              <w:spacing w:after="0" w:before="0"/>
            </w:pPr>
            <w:r/>
            <w:r>
              <w:rPr>
                <w:rFonts w:ascii="Times New Roman" w:hAnsi="Times New Roman" w:eastAsia="宋体"/>
                <w:b w:val="0"/>
                <w:sz w:val="18"/>
              </w:rPr>
              <w:t>【　　　　　　　　】</w:t>
            </w:r>
          </w:p>
        </w:tc>
        <w:tc>
          <w:tcPr>
            <w:tcW w:type="dxa" w:w="1587"/>
            <w:shd w:fill="F2F4F7" w:val="clear"/>
          </w:tcPr>
          <w:p>
            <w:pPr>
              <w:spacing w:after="0" w:before="0"/>
            </w:pPr>
            <w:r/>
            <w:r>
              <w:rPr>
                <w:rFonts w:ascii="Times New Roman" w:hAnsi="Times New Roman" w:eastAsia="宋体"/>
                <w:b/>
                <w:sz w:val="18"/>
              </w:rPr>
              <w:t>电子邮箱</w:t>
            </w:r>
          </w:p>
        </w:tc>
        <w:tc>
          <w:tcPr>
            <w:tcW w:type="dxa" w:w="2948"/>
          </w:tcPr>
          <w:p>
            <w:pPr>
              <w:spacing w:after="0" w:before="0"/>
            </w:pPr>
            <w:r/>
            <w:r>
              <w:rPr>
                <w:rFonts w:ascii="Times New Roman" w:hAnsi="Times New Roman" w:eastAsia="宋体"/>
                <w:b w:val="0"/>
                <w:sz w:val="18"/>
              </w:rPr>
              <w:t>【　　　　　　　　】</w:t>
            </w:r>
          </w:p>
        </w:tc>
      </w:tr>
    </w:tbl>
    <w:p/>
    <w:p>
      <w:pPr>
        <w:spacing w:after="200" w:before="0" w:line="360" w:lineRule="auto"/>
        <w:ind w:firstLine="420"/>
      </w:pPr>
      <w:r>
        <w:rPr>
          <w:rFonts w:ascii="Times New Roman" w:hAnsi="Times New Roman" w:eastAsia="宋体"/>
          <w:b w:val="0"/>
          <w:sz w:val="21"/>
        </w:rPr>
        <w:t>鉴于甲方运营或对外提供 Trinity AI 模型服务（以下简称「模型服务」），乙方具备客户拓展与商务对接能力，双方依据《中华人民共和国民法典》及相关法律法规，在平等、自愿、诚实信用的基础上，就乙方为甲方提供渠道合作服务及返点事宜，订立本协议。</w:t>
      </w:r>
    </w:p>
    <w:p>
      <w:pPr>
        <w:spacing w:after="160" w:before="0" w:line="360" w:lineRule="auto"/>
      </w:pPr>
      <w:r>
        <w:rPr>
          <w:rFonts w:ascii="Times New Roman" w:hAnsi="Times New Roman" w:eastAsia="宋体"/>
          <w:b/>
          <w:sz w:val="24"/>
        </w:rPr>
        <w:t>1  定义</w:t>
      </w:r>
    </w:p>
    <w:p>
      <w:pPr>
        <w:spacing w:after="120" w:before="0" w:line="360" w:lineRule="auto"/>
        <w:ind w:firstLine="420"/>
      </w:pPr>
      <w:r>
        <w:rPr>
          <w:rFonts w:ascii="Times New Roman" w:hAnsi="Times New Roman" w:eastAsia="宋体"/>
          <w:b w:val="0"/>
          <w:sz w:val="21"/>
        </w:rPr>
        <w:t>1.1  “模型服务”指甲方通过 Trinity AI 平台或经甲方合法授权的交付路径，向终端客户提供的人工智能模型调用、API/SDK 接入、账号或调用权限开通、计量计费、基础技术支持及双方书面确认的其他模型相关服务。本协议项下合作范围限于前述模型服务，不包括云厂商基础设施转售，亦不构成甲方对上游模型权利人的代理。</w:t>
      </w:r>
    </w:p>
    <w:p>
      <w:pPr>
        <w:spacing w:after="120" w:before="0" w:line="360" w:lineRule="auto"/>
        <w:ind w:firstLine="420"/>
      </w:pPr>
      <w:r>
        <w:rPr>
          <w:rFonts w:ascii="Times New Roman" w:hAnsi="Times New Roman" w:eastAsia="宋体"/>
          <w:b w:val="0"/>
          <w:sz w:val="21"/>
        </w:rPr>
        <w:t>1.2  “渠道客户”指经乙方引荐或主导商务拓展，并最终与甲方（或其指定主体）就模型服务建立有效合作、产生可结算消费的终端客户或其关联主体。渠道客户名单及归属以双方书面确认或甲方系统标记为准。</w:t>
      </w:r>
    </w:p>
    <w:p>
      <w:pPr>
        <w:spacing w:after="120" w:before="0" w:line="360" w:lineRule="auto"/>
        <w:ind w:firstLine="420"/>
      </w:pPr>
      <w:r>
        <w:rPr>
          <w:rFonts w:ascii="Times New Roman" w:hAnsi="Times New Roman" w:eastAsia="宋体"/>
          <w:b w:val="0"/>
          <w:sz w:val="21"/>
        </w:rPr>
        <w:t>1.3  “指定对接人”指乙方书面指定、全程参与渠道客户商务拓展及客户侧商务对接的联系人，信息载于本协议首部信息表及附件一；变更应提前三个工作日书面通知甲方。</w:t>
      </w:r>
    </w:p>
    <w:p>
      <w:pPr>
        <w:spacing w:after="120" w:before="0" w:line="360" w:lineRule="auto"/>
        <w:ind w:firstLine="420"/>
      </w:pPr>
      <w:r>
        <w:rPr>
          <w:rFonts w:ascii="Times New Roman" w:hAnsi="Times New Roman" w:eastAsia="宋体"/>
          <w:b w:val="0"/>
          <w:sz w:val="21"/>
        </w:rPr>
        <w:t>1.4  “账期”指按自然月计算的结算期间，自当月一日至当月最后一日（北京时间），双方另有书面约定的除外。</w:t>
      </w:r>
    </w:p>
    <w:p>
      <w:pPr>
        <w:spacing w:after="120" w:before="0" w:line="360" w:lineRule="auto"/>
        <w:ind w:firstLine="420"/>
      </w:pPr>
      <w:r>
        <w:rPr>
          <w:rFonts w:ascii="Times New Roman" w:hAnsi="Times New Roman" w:eastAsia="宋体"/>
          <w:b w:val="0"/>
          <w:sz w:val="21"/>
        </w:rPr>
        <w:t>1.5  “最终结算单”指甲方就某渠道客户某一账期模型服务消费出具的、经甲方确认（及客户核对程序完成后视为确认）的结算文件，包括但不限于平台结算单、对账确认文件或其他可追溯书面文件。</w:t>
      </w:r>
    </w:p>
    <w:p>
      <w:pPr>
        <w:spacing w:after="120" w:before="0" w:line="360" w:lineRule="auto"/>
        <w:ind w:firstLine="420"/>
      </w:pPr>
      <w:r>
        <w:rPr>
          <w:rFonts w:ascii="Times New Roman" w:hAnsi="Times New Roman" w:eastAsia="宋体"/>
          <w:b w:val="0"/>
          <w:sz w:val="21"/>
        </w:rPr>
        <w:t>1.6  “实际消费”指最终结算单所载、该账期内渠道客户因使用模型服务而发生的、纳入返点核算的金额。未特别约定的，以最终结算单载明的结算总金额（人民币）为准。</w:t>
      </w:r>
    </w:p>
    <w:p>
      <w:pPr>
        <w:spacing w:after="120" w:before="0" w:line="360" w:lineRule="auto"/>
        <w:ind w:firstLine="420"/>
      </w:pPr>
      <w:r>
        <w:rPr>
          <w:rFonts w:ascii="Times New Roman" w:hAnsi="Times New Roman" w:eastAsia="宋体"/>
          <w:b w:val="0"/>
          <w:sz w:val="21"/>
        </w:rPr>
        <w:t>1.7  “返点”指甲方按本协议约定向乙方支付的渠道服务报酬，其计算以实际消费为基数乘以约定比例，不构成对终端客户的折扣、退款或提现权利。</w:t>
      </w:r>
    </w:p>
    <w:p>
      <w:pPr>
        <w:spacing w:after="120" w:before="0" w:line="360" w:lineRule="auto"/>
        <w:ind w:firstLine="420"/>
      </w:pPr>
      <w:r>
        <w:rPr>
          <w:rFonts w:ascii="Times New Roman" w:hAnsi="Times New Roman" w:eastAsia="宋体"/>
          <w:b w:val="0"/>
          <w:sz w:val="21"/>
        </w:rPr>
        <w:t>1.8  “书面确认”包括双方盖章或依法有效的电子签署文件，以及双方授权联系人通过企业邮箱或其他约定方式形成的可追溯数据电文。</w:t>
      </w:r>
    </w:p>
    <w:p>
      <w:pPr>
        <w:spacing w:after="160" w:before="0" w:line="360" w:lineRule="auto"/>
      </w:pPr>
      <w:r>
        <w:rPr>
          <w:rFonts w:ascii="Times New Roman" w:hAnsi="Times New Roman" w:eastAsia="宋体"/>
          <w:b/>
          <w:sz w:val="24"/>
        </w:rPr>
        <w:t>2  合作内容与双方义务</w:t>
      </w:r>
    </w:p>
    <w:p>
      <w:pPr>
        <w:spacing w:after="120" w:before="0" w:line="360" w:lineRule="auto"/>
        <w:ind w:firstLine="420"/>
      </w:pPr>
      <w:r>
        <w:rPr>
          <w:rFonts w:ascii="Times New Roman" w:hAnsi="Times New Roman" w:eastAsia="宋体"/>
          <w:b w:val="0"/>
          <w:sz w:val="21"/>
        </w:rPr>
        <w:t>2.1  乙方为甲方提供与模型服务相关的渠道合作服务，包括但不限于：潜在客户开拓、商务引荐、商务方案沟通协调，以及渠道客户侧商务对接问题的跟进与协调。乙方指定对接人应全程参与上述商务拓展与客户侧对接工作。</w:t>
      </w:r>
    </w:p>
    <w:p>
      <w:pPr>
        <w:spacing w:after="120" w:before="0" w:line="360" w:lineRule="auto"/>
        <w:ind w:firstLine="420"/>
      </w:pPr>
      <w:r>
        <w:rPr>
          <w:rFonts w:ascii="Times New Roman" w:hAnsi="Times New Roman" w:eastAsia="宋体"/>
          <w:b w:val="0"/>
          <w:sz w:val="21"/>
        </w:rPr>
        <w:t>2.2  乙方应保证其引荐行为合法合规，不得虚假承诺甲方未书面确认的价格、折扣、返点、服务能力或交付时限；不得以甲方名义签署合同或收取终端客户款项，除非甲方另行书面授权。</w:t>
      </w:r>
    </w:p>
    <w:p>
      <w:pPr>
        <w:spacing w:after="120" w:before="0" w:line="360" w:lineRule="auto"/>
        <w:ind w:firstLine="420"/>
      </w:pPr>
      <w:r>
        <w:rPr>
          <w:rFonts w:ascii="Times New Roman" w:hAnsi="Times New Roman" w:eastAsia="宋体"/>
          <w:b w:val="0"/>
          <w:sz w:val="21"/>
        </w:rPr>
        <w:t>2.3  甲方负责模型服务的商务签约（与终端客户）、开通、计量、对客结算及客户服务主责；甲方应及时向乙方提供核算返点所必需的账期结算信息（可脱敏），但有权不提供涉及商业秘密或与返点核算无关的底层成本信息。</w:t>
      </w:r>
    </w:p>
    <w:p>
      <w:pPr>
        <w:spacing w:after="120" w:before="0" w:line="360" w:lineRule="auto"/>
        <w:ind w:firstLine="420"/>
      </w:pPr>
      <w:r>
        <w:rPr>
          <w:rFonts w:ascii="Times New Roman" w:hAnsi="Times New Roman" w:eastAsia="宋体"/>
          <w:b w:val="0"/>
          <w:sz w:val="21"/>
        </w:rPr>
        <w:t>2.4  终端客户与甲方之间的模型服务合同权利义务，由该等合同约束；本协议不使乙方成为甲方对终端客户的共同服务方、保证人或代理人。</w:t>
      </w:r>
    </w:p>
    <w:p>
      <w:pPr>
        <w:spacing w:after="120" w:before="0" w:line="360" w:lineRule="auto"/>
        <w:ind w:firstLine="420"/>
      </w:pPr>
      <w:r>
        <w:rPr>
          <w:rFonts w:ascii="Times New Roman" w:hAnsi="Times New Roman" w:eastAsia="宋体"/>
          <w:b w:val="0"/>
          <w:sz w:val="21"/>
        </w:rPr>
        <w:t>2.5  除双方另有书面约定外，本协议不授予乙方独家渠道权；甲方有权发展其他渠道或自行拓展客户。</w:t>
      </w:r>
    </w:p>
    <w:p>
      <w:pPr>
        <w:spacing w:after="160" w:before="0" w:line="360" w:lineRule="auto"/>
      </w:pPr>
      <w:r>
        <w:rPr>
          <w:rFonts w:ascii="Times New Roman" w:hAnsi="Times New Roman" w:eastAsia="宋体"/>
          <w:b/>
          <w:sz w:val="24"/>
        </w:rPr>
        <w:t>3  返点</w:t>
      </w:r>
    </w:p>
    <w:p>
      <w:pPr>
        <w:spacing w:after="120" w:before="0" w:line="360" w:lineRule="auto"/>
        <w:ind w:firstLine="420"/>
      </w:pPr>
      <w:r>
        <w:rPr>
          <w:rFonts w:ascii="Times New Roman" w:hAnsi="Times New Roman" w:eastAsia="宋体"/>
          <w:b w:val="0"/>
          <w:sz w:val="21"/>
        </w:rPr>
        <w:t>3.1  返点比例：就符合本协议约定的渠道客户，甲方按该客户相应账期实际消费的【1%】（大写：百分之一）向乙方计付返点。双方可就特定客户或特定期间以书面补充协议约定不低于前述比例的其他比例；未补充约定的，适用本条比例。</w:t>
      </w:r>
    </w:p>
    <w:p>
      <w:pPr>
        <w:spacing w:after="120" w:before="0" w:line="360" w:lineRule="auto"/>
        <w:ind w:firstLine="420"/>
      </w:pPr>
      <w:r>
        <w:rPr>
          <w:rFonts w:ascii="Times New Roman" w:hAnsi="Times New Roman" w:eastAsia="宋体"/>
          <w:b w:val="0"/>
          <w:sz w:val="21"/>
        </w:rPr>
        <w:t>3.2  返点基数：以最终结算单所载实际消费为准，按客户、按账期分别核算。实际消费以人民币计价；如最终结算单含外币金额，是否纳入本协议返点及折算规则，由双方另行书面约定。未约定纳入的，外币部分不计入返点基数。</w:t>
      </w:r>
    </w:p>
    <w:p>
      <w:pPr>
        <w:spacing w:after="120" w:before="0" w:line="360" w:lineRule="auto"/>
        <w:ind w:firstLine="420"/>
      </w:pPr>
      <w:r>
        <w:rPr>
          <w:rFonts w:ascii="Times New Roman" w:hAnsi="Times New Roman" w:eastAsia="宋体"/>
          <w:b w:val="0"/>
          <w:sz w:val="21"/>
        </w:rPr>
        <w:t>3.3  除外与调整：下列金额不计入或应相应扣减返点基数（已支付的，甲方有权在后续账期返点中扣回）：（1）退款、冲正、坏账或客户未实际支付对应服务价款的部分；（2）测试、赠送、内部调账或双方确认不计入商务结算的用量；（3）因乙方虚假引荐、违规承诺或严重违反本协议导致甲方无法向客户正常结算的部分；（4）双方书面确认的其他除外项。</w:t>
      </w:r>
    </w:p>
    <w:p>
      <w:pPr>
        <w:spacing w:after="120" w:before="0" w:line="360" w:lineRule="auto"/>
        <w:ind w:firstLine="420"/>
      </w:pPr>
      <w:r>
        <w:rPr>
          <w:rFonts w:ascii="Times New Roman" w:hAnsi="Times New Roman" w:eastAsia="宋体"/>
          <w:b w:val="0"/>
          <w:sz w:val="21"/>
        </w:rPr>
        <w:t>3.4  成本与税负承担（讨论稿默认：渠道客户承担）：（1）应付返点金额按含税口径（价税合计）核算；乙方应就应付返点向甲方开具合法有效发票（增值税专用发票或普通发票，以乙方税务资质为准）；（2）原则上，因本协议项下返点所产生的成本及与之相关的税负，由相应渠道客户承担，甲方可通过计入对客报价、服务费、结算条款或其他商务安排予以落实，并尽可能取得可追溯的书面确认；乙方应在合理范围内予以配合；（3）乙方不因前款安排负有向渠道客户代收、代付返点的义务，除非甲方、乙方与渠道客户另有三方书面约定；（4）无论成本最终由渠道客户或其他方承担，甲方对乙方的返点支付义务仍按本协议第3条、第4条履行，不因内部或对客成本归属安排而当然减免，除非双方书面变更应付金额；（5）本条为送财务、法务审阅之默认方案，双方确认最终口径前，可以补充协议调整为甲方承担、分档承担或其他安排。</w:t>
      </w:r>
    </w:p>
    <w:p>
      <w:pPr>
        <w:spacing w:after="120" w:before="0" w:line="360" w:lineRule="auto"/>
        <w:ind w:firstLine="420"/>
      </w:pPr>
      <w:r>
        <w:rPr>
          <w:rFonts w:ascii="Times New Roman" w:hAnsi="Times New Roman" w:eastAsia="宋体"/>
          <w:b w:val="0"/>
          <w:sz w:val="21"/>
        </w:rPr>
        <w:t>3.5  返点仅为乙方提供本协议项下渠道服务的对价，不构成劳动合同、劳动关系或社会保险缴费义务。</w:t>
      </w:r>
    </w:p>
    <w:p>
      <w:pPr>
        <w:spacing w:after="160" w:before="0" w:line="360" w:lineRule="auto"/>
      </w:pPr>
      <w:r>
        <w:rPr>
          <w:rFonts w:ascii="Times New Roman" w:hAnsi="Times New Roman" w:eastAsia="宋体"/>
          <w:b/>
          <w:sz w:val="24"/>
        </w:rPr>
        <w:t>4  对账与支付</w:t>
      </w:r>
    </w:p>
    <w:p>
      <w:pPr>
        <w:spacing w:after="120" w:before="0" w:line="360" w:lineRule="auto"/>
        <w:ind w:firstLine="420"/>
      </w:pPr>
      <w:r>
        <w:rPr>
          <w:rFonts w:ascii="Times New Roman" w:hAnsi="Times New Roman" w:eastAsia="宋体"/>
          <w:b w:val="0"/>
          <w:sz w:val="21"/>
        </w:rPr>
        <w:t>4.1  对账：甲方原则上于每个自然月【1】日至【10】日，就上一账期渠道客户的实际消费及应付返点金额向乙方提供对账资料或对账结果。乙方应在收到后【5】个工作日内书面确认或提出异议；逾期未反馈的，视为认可该期对账结果。</w:t>
      </w:r>
    </w:p>
    <w:p>
      <w:pPr>
        <w:spacing w:after="120" w:before="0" w:line="360" w:lineRule="auto"/>
        <w:ind w:firstLine="420"/>
      </w:pPr>
      <w:r>
        <w:rPr>
          <w:rFonts w:ascii="Times New Roman" w:hAnsi="Times New Roman" w:eastAsia="宋体"/>
          <w:b w:val="0"/>
          <w:sz w:val="21"/>
        </w:rPr>
        <w:t>4.2  支付：双方确认某账期应付返点后，乙方按甲方要求开具合法有效发票。甲方在收到合规发票及完整付款资料后【15】个工作日内，将返点支付至本协议首部信息表及附件一载明的乙方账户。</w:t>
      </w:r>
    </w:p>
    <w:p>
      <w:pPr>
        <w:spacing w:after="120" w:before="0" w:line="360" w:lineRule="auto"/>
        <w:ind w:firstLine="420"/>
      </w:pPr>
      <w:r>
        <w:rPr>
          <w:rFonts w:ascii="Times New Roman" w:hAnsi="Times New Roman" w:eastAsia="宋体"/>
          <w:b w:val="0"/>
          <w:sz w:val="21"/>
        </w:rPr>
        <w:t>4.3  支付方式为银行转账。因乙方账户信息错误、发票不合规或资料不全导致的延迟，甲方不承担逾期责任。</w:t>
      </w:r>
    </w:p>
    <w:p>
      <w:pPr>
        <w:spacing w:after="120" w:before="0" w:line="360" w:lineRule="auto"/>
        <w:ind w:firstLine="420"/>
      </w:pPr>
      <w:r>
        <w:rPr>
          <w:rFonts w:ascii="Times New Roman" w:hAnsi="Times New Roman" w:eastAsia="宋体"/>
          <w:b w:val="0"/>
          <w:sz w:val="21"/>
        </w:rPr>
        <w:t>4.4  若后续审计或客户对账发现实际消费调减，甲方有权要求乙方退还多计返点，或从应付未付返点中直接扣除。</w:t>
      </w:r>
    </w:p>
    <w:p>
      <w:pPr>
        <w:spacing w:after="160" w:before="0" w:line="360" w:lineRule="auto"/>
      </w:pPr>
      <w:r>
        <w:rPr>
          <w:rFonts w:ascii="Times New Roman" w:hAnsi="Times New Roman" w:eastAsia="宋体"/>
          <w:b/>
          <w:sz w:val="24"/>
        </w:rPr>
        <w:t>5  客户归属与保护期</w:t>
      </w:r>
    </w:p>
    <w:p>
      <w:pPr>
        <w:spacing w:after="120" w:before="0" w:line="360" w:lineRule="auto"/>
        <w:ind w:firstLine="420"/>
      </w:pPr>
      <w:r>
        <w:rPr>
          <w:rFonts w:ascii="Times New Roman" w:hAnsi="Times New Roman" w:eastAsia="宋体"/>
          <w:b w:val="0"/>
          <w:sz w:val="21"/>
        </w:rPr>
        <w:t>5.1  渠道客户归属以双方书面确认的名单或甲方系统标记为准。同一客户存在多方主张的，由甲方依据首次有效书面引荐时间、商务主导事实及签约主体等合理确定，并向相关方说明。</w:t>
      </w:r>
    </w:p>
    <w:p>
      <w:pPr>
        <w:spacing w:after="120" w:before="0" w:line="360" w:lineRule="auto"/>
        <w:ind w:firstLine="420"/>
      </w:pPr>
      <w:r>
        <w:rPr>
          <w:rFonts w:ascii="Times New Roman" w:hAnsi="Times New Roman" w:eastAsia="宋体"/>
          <w:b w:val="0"/>
          <w:sz w:val="21"/>
        </w:rPr>
        <w:t>5.2  保护期：自渠道客户与甲方首次就模型服务签约或首次产生可结算消费之日起【12】个月内，就该客户在保护期内产生的、符合本协议的实际消费，乙方有权按约计取返点。保护期满后是否续享返点，由双方另行书面约定；未约定的，保护期届满后甲方有权停止就该客户向乙方计付返点。</w:t>
      </w:r>
    </w:p>
    <w:p>
      <w:pPr>
        <w:spacing w:after="120" w:before="0" w:line="360" w:lineRule="auto"/>
        <w:ind w:firstLine="420"/>
      </w:pPr>
      <w:r>
        <w:rPr>
          <w:rFonts w:ascii="Times New Roman" w:hAnsi="Times New Roman" w:eastAsia="宋体"/>
          <w:b w:val="0"/>
          <w:sz w:val="21"/>
        </w:rPr>
        <w:t>5.3  乙方不得以不正当手段挖抢甲方已有存量客户；存量客户是否纳入渠道返点，须经甲方书面确认。</w:t>
      </w:r>
    </w:p>
    <w:p>
      <w:pPr>
        <w:spacing w:after="160" w:before="0" w:line="360" w:lineRule="auto"/>
      </w:pPr>
      <w:r>
        <w:rPr>
          <w:rFonts w:ascii="Times New Roman" w:hAnsi="Times New Roman" w:eastAsia="宋体"/>
          <w:b/>
          <w:sz w:val="24"/>
        </w:rPr>
        <w:t>6  保密</w:t>
      </w:r>
    </w:p>
    <w:p>
      <w:pPr>
        <w:spacing w:after="120" w:before="0" w:line="360" w:lineRule="auto"/>
        <w:ind w:firstLine="420"/>
      </w:pPr>
      <w:r>
        <w:rPr>
          <w:rFonts w:ascii="Times New Roman" w:hAnsi="Times New Roman" w:eastAsia="宋体"/>
          <w:b w:val="0"/>
          <w:sz w:val="21"/>
        </w:rPr>
        <w:t>6.1  一方因履行本协议知悉的另一方商业秘密、客户信息、价格与商务政策、技术与运营数据等，均负有保密义务，未经对方书面同意不得向第三方披露，法律法规或有权机关要求的除外。</w:t>
      </w:r>
    </w:p>
    <w:p>
      <w:pPr>
        <w:spacing w:after="120" w:before="0" w:line="360" w:lineRule="auto"/>
        <w:ind w:firstLine="420"/>
      </w:pPr>
      <w:r>
        <w:rPr>
          <w:rFonts w:ascii="Times New Roman" w:hAnsi="Times New Roman" w:eastAsia="宋体"/>
          <w:b w:val="0"/>
          <w:sz w:val="21"/>
        </w:rPr>
        <w:t>6.2  返点比例、对账数据及客户消费明细属于保密信息。保密义务在本协议终止后仍持续有效【三】年。</w:t>
      </w:r>
    </w:p>
    <w:p>
      <w:pPr>
        <w:spacing w:after="160" w:before="0" w:line="360" w:lineRule="auto"/>
      </w:pPr>
      <w:r>
        <w:rPr>
          <w:rFonts w:ascii="Times New Roman" w:hAnsi="Times New Roman" w:eastAsia="宋体"/>
          <w:b/>
          <w:sz w:val="24"/>
        </w:rPr>
        <w:t>7  陈述与保证</w:t>
      </w:r>
    </w:p>
    <w:p>
      <w:pPr>
        <w:spacing w:after="120" w:before="0" w:line="360" w:lineRule="auto"/>
        <w:ind w:firstLine="420"/>
      </w:pPr>
      <w:r>
        <w:rPr>
          <w:rFonts w:ascii="Times New Roman" w:hAnsi="Times New Roman" w:eastAsia="宋体"/>
          <w:b w:val="0"/>
          <w:sz w:val="21"/>
        </w:rPr>
        <w:t>7.1  双方保证其系依法设立并有效存续的主体，有权签署并履行本协议。</w:t>
      </w:r>
    </w:p>
    <w:p>
      <w:pPr>
        <w:spacing w:after="120" w:before="0" w:line="360" w:lineRule="auto"/>
        <w:ind w:firstLine="420"/>
      </w:pPr>
      <w:r>
        <w:rPr>
          <w:rFonts w:ascii="Times New Roman" w:hAnsi="Times New Roman" w:eastAsia="宋体"/>
          <w:b w:val="0"/>
          <w:sz w:val="21"/>
        </w:rPr>
        <w:t>7.2  乙方保证指定对接人及履约人员具备必要商务能力，其拓展与对接行为不违反反不正当竞争、反贿赂及数据保护等相关规定。</w:t>
      </w:r>
    </w:p>
    <w:p>
      <w:pPr>
        <w:spacing w:after="160" w:before="0" w:line="360" w:lineRule="auto"/>
      </w:pPr>
      <w:r>
        <w:rPr>
          <w:rFonts w:ascii="Times New Roman" w:hAnsi="Times New Roman" w:eastAsia="宋体"/>
          <w:b/>
          <w:sz w:val="24"/>
        </w:rPr>
        <w:t>8  期限、变更与终止</w:t>
      </w:r>
    </w:p>
    <w:p>
      <w:pPr>
        <w:spacing w:after="120" w:before="0" w:line="360" w:lineRule="auto"/>
        <w:ind w:firstLine="420"/>
      </w:pPr>
      <w:r>
        <w:rPr>
          <w:rFonts w:ascii="Times New Roman" w:hAnsi="Times New Roman" w:eastAsia="宋体"/>
          <w:b w:val="0"/>
          <w:sz w:val="21"/>
        </w:rPr>
        <w:t>8.1  本协议自双方法定代表人或授权代表签字并加盖公章（或合同专用章）之日起生效，有效期【一】年。期限届满前【30】日，一方可书面提出续约；双方无异议并书面确认的，可按同等条件续展【一】年。</w:t>
      </w:r>
    </w:p>
    <w:p>
      <w:pPr>
        <w:spacing w:after="120" w:before="0" w:line="360" w:lineRule="auto"/>
        <w:ind w:firstLine="420"/>
      </w:pPr>
      <w:r>
        <w:rPr>
          <w:rFonts w:ascii="Times New Roman" w:hAnsi="Times New Roman" w:eastAsia="宋体"/>
          <w:b w:val="0"/>
          <w:sz w:val="21"/>
        </w:rPr>
        <w:t>8.2  一方严重违约且在对方书面催告后【10】个工作日内未纠正的，对方有权书面解除本协议。</w:t>
      </w:r>
    </w:p>
    <w:p>
      <w:pPr>
        <w:spacing w:after="120" w:before="0" w:line="360" w:lineRule="auto"/>
        <w:ind w:firstLine="420"/>
      </w:pPr>
      <w:r>
        <w:rPr>
          <w:rFonts w:ascii="Times New Roman" w:hAnsi="Times New Roman" w:eastAsia="宋体"/>
          <w:b w:val="0"/>
          <w:sz w:val="21"/>
        </w:rPr>
        <w:t>8.3  本协议终止或解除后，已产生且符合本协议的应付未付返点，仍应按第3条、第4条结清；保密、归属争议处理等条款继续有效。</w:t>
      </w:r>
    </w:p>
    <w:p>
      <w:pPr>
        <w:spacing w:after="160" w:before="0" w:line="360" w:lineRule="auto"/>
      </w:pPr>
      <w:r>
        <w:rPr>
          <w:rFonts w:ascii="Times New Roman" w:hAnsi="Times New Roman" w:eastAsia="宋体"/>
          <w:b/>
          <w:sz w:val="24"/>
        </w:rPr>
        <w:t>9  违约责任</w:t>
      </w:r>
    </w:p>
    <w:p>
      <w:pPr>
        <w:spacing w:after="120" w:before="0" w:line="360" w:lineRule="auto"/>
        <w:ind w:firstLine="420"/>
      </w:pPr>
      <w:r>
        <w:rPr>
          <w:rFonts w:ascii="Times New Roman" w:hAnsi="Times New Roman" w:eastAsia="宋体"/>
          <w:b w:val="0"/>
          <w:sz w:val="21"/>
        </w:rPr>
        <w:t>9.1  一方违反本协议约定，给对方造成损失的，应赔偿对方因此遭受的直接损失；法律法规另有规定的除外。</w:t>
      </w:r>
    </w:p>
    <w:p>
      <w:pPr>
        <w:spacing w:after="120" w:before="0" w:line="360" w:lineRule="auto"/>
        <w:ind w:firstLine="420"/>
      </w:pPr>
      <w:r>
        <w:rPr>
          <w:rFonts w:ascii="Times New Roman" w:hAnsi="Times New Roman" w:eastAsia="宋体"/>
          <w:b w:val="0"/>
          <w:sz w:val="21"/>
        </w:rPr>
        <w:t>9.2  乙方存在虚假引荐、伪造客户意愿、商业贿赂或严重损害甲方商誉的，甲方有权立即解除本协议，并停付、追回相关返点。</w:t>
      </w:r>
    </w:p>
    <w:p>
      <w:pPr>
        <w:spacing w:after="160" w:before="0" w:line="360" w:lineRule="auto"/>
      </w:pPr>
      <w:r>
        <w:rPr>
          <w:rFonts w:ascii="Times New Roman" w:hAnsi="Times New Roman" w:eastAsia="宋体"/>
          <w:b/>
          <w:sz w:val="24"/>
        </w:rPr>
        <w:t>10  适用法律与争议解决</w:t>
      </w:r>
    </w:p>
    <w:p>
      <w:pPr>
        <w:spacing w:after="120" w:before="0" w:line="360" w:lineRule="auto"/>
        <w:ind w:firstLine="420"/>
      </w:pPr>
      <w:r>
        <w:rPr>
          <w:rFonts w:ascii="Times New Roman" w:hAnsi="Times New Roman" w:eastAsia="宋体"/>
          <w:b w:val="0"/>
          <w:sz w:val="21"/>
        </w:rPr>
        <w:t>10.1  本协议适用中华人民共和国法律（为本款之目的，不含港澳台地区法律）。</w:t>
      </w:r>
    </w:p>
    <w:p>
      <w:pPr>
        <w:spacing w:after="120" w:before="0" w:line="360" w:lineRule="auto"/>
        <w:ind w:firstLine="420"/>
      </w:pPr>
      <w:r>
        <w:rPr>
          <w:rFonts w:ascii="Times New Roman" w:hAnsi="Times New Roman" w:eastAsia="宋体"/>
          <w:b w:val="0"/>
          <w:sz w:val="21"/>
        </w:rPr>
        <w:t>10.2  因本协议引起的争议，双方应先协商；协商不成的，提交【甲方住所地有管辖权的人民法院 / 或××仲裁委员会仲裁】解决。【签约时择一】</w:t>
      </w:r>
    </w:p>
    <w:p>
      <w:pPr>
        <w:spacing w:after="160" w:before="0" w:line="360" w:lineRule="auto"/>
      </w:pPr>
      <w:r>
        <w:rPr>
          <w:rFonts w:ascii="Times New Roman" w:hAnsi="Times New Roman" w:eastAsia="宋体"/>
          <w:b/>
          <w:sz w:val="24"/>
        </w:rPr>
        <w:t>11  其他</w:t>
      </w:r>
    </w:p>
    <w:p>
      <w:pPr>
        <w:spacing w:after="120" w:before="0" w:line="360" w:lineRule="auto"/>
        <w:ind w:firstLine="420"/>
      </w:pPr>
      <w:r>
        <w:rPr>
          <w:rFonts w:ascii="Times New Roman" w:hAnsi="Times New Roman" w:eastAsia="宋体"/>
          <w:b w:val="0"/>
          <w:sz w:val="21"/>
        </w:rPr>
        <w:t>11.1  本协议构成双方就本协议标的的完整约定，取代此前一切口头或书面磋商（已签署且仍有效的保密协议除外）。未尽事宜可签署补充协议；第3.4条成本与税负承担安排尤其可以在财务、法务审阅后以补充协议调整。</w:t>
      </w:r>
    </w:p>
    <w:p>
      <w:pPr>
        <w:spacing w:after="120" w:before="0" w:line="360" w:lineRule="auto"/>
        <w:ind w:firstLine="420"/>
      </w:pPr>
      <w:r>
        <w:rPr>
          <w:rFonts w:ascii="Times New Roman" w:hAnsi="Times New Roman" w:eastAsia="宋体"/>
          <w:b w:val="0"/>
          <w:sz w:val="21"/>
        </w:rPr>
        <w:t>11.2  本协议附件为本协议组成部分，与正文具有同等法律效力。附件包括：附件一《渠道商信息、指定对接人及收款账户》；附件二《返点对账表示例（字段说明）》。各附件单独成页，附于主协议之后。</w:t>
      </w:r>
    </w:p>
    <w:p>
      <w:pPr>
        <w:spacing w:after="120" w:before="0" w:line="360" w:lineRule="auto"/>
        <w:ind w:firstLine="420"/>
      </w:pPr>
      <w:r>
        <w:rPr>
          <w:rFonts w:ascii="Times New Roman" w:hAnsi="Times New Roman" w:eastAsia="宋体"/>
          <w:b w:val="0"/>
          <w:sz w:val="21"/>
        </w:rPr>
        <w:t>11.3  本协议一式【两】份，甲乙双方各执【一】份，具有同等法律效力。</w:t>
      </w:r>
    </w:p>
    <w:p>
      <w:pPr>
        <w:spacing w:after="200" w:before="0" w:line="360" w:lineRule="auto"/>
        <w:jc w:val="center"/>
      </w:pPr>
      <w:r>
        <w:rPr>
          <w:rFonts w:ascii="Times New Roman" w:hAnsi="Times New Roman" w:eastAsia="宋体"/>
          <w:b w:val="0"/>
          <w:sz w:val="21"/>
        </w:rPr>
        <w:t>（主协议正文结束）</w:t>
      </w:r>
    </w:p>
    <w:tbl>
      <w:tblPr>
        <w:tblStyle w:val="TableGrid"/>
        <w:tblW w:type="auto" w:w="0"/>
        <w:tblLook w:firstColumn="1" w:firstRow="1" w:lastColumn="0" w:lastRow="0" w:noHBand="0" w:noVBand="1" w:val="04A0"/>
      </w:tblPr>
      <w:tblGrid>
        <w:gridCol w:w="4703"/>
        <w:gridCol w:w="4703"/>
      </w:tblGrid>
      <w:tr>
        <w:tc>
          <w:tcPr>
            <w:tcW w:type="dxa" w:w="4703"/>
          </w:tcPr>
          <w:p>
            <w:pPr>
              <w:spacing w:after="0" w:before="0"/>
            </w:pPr>
            <w:r/>
            <w:r>
              <w:rPr>
                <w:rFonts w:ascii="Times New Roman" w:hAnsi="Times New Roman" w:eastAsia="宋体"/>
                <w:b w:val="0"/>
                <w:sz w:val="21"/>
              </w:rPr>
              <w:t>甲方（盖章）：【陕西星瀚算力信息科技有限公司 / 指定主体】</w:t>
            </w:r>
          </w:p>
        </w:tc>
        <w:tc>
          <w:tcPr>
            <w:tcW w:type="dxa" w:w="4703"/>
          </w:tcPr>
          <w:p>
            <w:pPr>
              <w:spacing w:after="0" w:before="0"/>
            </w:pPr>
            <w:r/>
            <w:r>
              <w:rPr>
                <w:rFonts w:ascii="Times New Roman" w:hAnsi="Times New Roman" w:eastAsia="宋体"/>
                <w:b w:val="0"/>
                <w:sz w:val="21"/>
              </w:rPr>
              <w:t>乙方（盖章）：【渠道商全称】</w:t>
            </w:r>
          </w:p>
        </w:tc>
      </w:tr>
      <w:tr>
        <w:tc>
          <w:tcPr>
            <w:tcW w:type="dxa" w:w="4703"/>
          </w:tcPr>
          <w:p>
            <w:pPr>
              <w:spacing w:after="0" w:before="0"/>
            </w:pPr>
            <w:r/>
            <w:r>
              <w:rPr>
                <w:rFonts w:ascii="Times New Roman" w:hAnsi="Times New Roman" w:eastAsia="宋体"/>
                <w:b w:val="0"/>
                <w:sz w:val="21"/>
              </w:rPr>
              <w:t>法定代表人或授权代表：________</w:t>
            </w:r>
          </w:p>
        </w:tc>
        <w:tc>
          <w:tcPr>
            <w:tcW w:type="dxa" w:w="4703"/>
          </w:tcPr>
          <w:p>
            <w:pPr>
              <w:spacing w:after="0" w:before="0"/>
            </w:pPr>
            <w:r/>
            <w:r>
              <w:rPr>
                <w:rFonts w:ascii="Times New Roman" w:hAnsi="Times New Roman" w:eastAsia="宋体"/>
                <w:b w:val="0"/>
                <w:sz w:val="21"/>
              </w:rPr>
              <w:t>法定代表人或授权代表：________</w:t>
            </w:r>
          </w:p>
        </w:tc>
      </w:tr>
      <w:tr>
        <w:tc>
          <w:tcPr>
            <w:tcW w:type="dxa" w:w="4703"/>
          </w:tcPr>
          <w:p>
            <w:pPr>
              <w:spacing w:after="0" w:before="0"/>
            </w:pPr>
            <w:r/>
            <w:r>
              <w:rPr>
                <w:rFonts w:ascii="Times New Roman" w:hAnsi="Times New Roman" w:eastAsia="宋体"/>
                <w:b w:val="0"/>
                <w:sz w:val="21"/>
              </w:rPr>
              <w:t>签署日期：____年__月__日</w:t>
            </w:r>
          </w:p>
        </w:tc>
        <w:tc>
          <w:tcPr>
            <w:tcW w:type="dxa" w:w="4703"/>
          </w:tcPr>
          <w:p>
            <w:pPr>
              <w:spacing w:after="0" w:before="0"/>
            </w:pPr>
            <w:r/>
            <w:r>
              <w:rPr>
                <w:rFonts w:ascii="Times New Roman" w:hAnsi="Times New Roman" w:eastAsia="宋体"/>
                <w:b w:val="0"/>
                <w:sz w:val="21"/>
              </w:rPr>
              <w:t>签署日期：____年__月__日</w:t>
            </w:r>
          </w:p>
        </w:tc>
      </w:tr>
    </w:tbl>
    <w:p>
      <w:pPr>
        <w:spacing w:before="0" w:after="0"/>
      </w:pPr>
      <w:r>
        <w:br w:type="page"/>
      </w:r>
    </w:p>
    <w:p>
      <w:pPr>
        <w:spacing w:after="80" w:before="0" w:line="360" w:lineRule="auto"/>
        <w:jc w:val="center"/>
      </w:pPr>
      <w:r>
        <w:rPr>
          <w:rFonts w:ascii="Times New Roman" w:hAnsi="Times New Roman" w:eastAsia="宋体"/>
          <w:b/>
          <w:sz w:val="28"/>
        </w:rPr>
        <w:t>附件一</w:t>
      </w:r>
    </w:p>
    <w:p>
      <w:pPr>
        <w:spacing w:after="120" w:before="0" w:line="360" w:lineRule="auto"/>
        <w:jc w:val="center"/>
      </w:pPr>
      <w:r>
        <w:rPr>
          <w:rFonts w:ascii="Times New Roman" w:hAnsi="Times New Roman" w:eastAsia="宋体"/>
          <w:b/>
          <w:sz w:val="24"/>
        </w:rPr>
        <w:t>渠道商信息、指定对接人及收款账户</w:t>
      </w:r>
    </w:p>
    <w:p>
      <w:pPr>
        <w:spacing w:after="200" w:before="0" w:line="360" w:lineRule="auto"/>
        <w:jc w:val="center"/>
      </w:pPr>
      <w:r>
        <w:rPr>
          <w:rFonts w:ascii="Times New Roman" w:hAnsi="Times New Roman" w:eastAsia="宋体"/>
          <w:b w:val="0"/>
          <w:sz w:val="18"/>
        </w:rPr>
        <w:t>（本附件单独成页；收款账户以本附件为准。）</w:t>
      </w:r>
    </w:p>
    <w:p>
      <w:pPr>
        <w:spacing w:after="160" w:before="0" w:line="360" w:lineRule="auto"/>
      </w:pPr>
      <w:r>
        <w:rPr>
          <w:rFonts w:ascii="Times New Roman" w:hAnsi="Times New Roman" w:eastAsia="宋体"/>
          <w:b w:val="0"/>
          <w:sz w:val="21"/>
        </w:rPr>
        <w:t>主协议编号：【TRINITY-CH-________】</w:t>
      </w:r>
    </w:p>
    <w:tbl>
      <w:tblPr>
        <w:tblStyle w:val="TableGrid"/>
        <w:tblW w:type="auto" w:w="0"/>
        <w:tblLook w:firstColumn="1" w:firstRow="1" w:lastColumn="0" w:lastRow="0" w:noHBand="0" w:noVBand="1" w:val="04A0"/>
      </w:tblPr>
      <w:tblGrid>
        <w:gridCol w:w="4703"/>
        <w:gridCol w:w="4703"/>
      </w:tblGrid>
      <w:tr>
        <w:tc>
          <w:tcPr>
            <w:tcW w:type="dxa" w:w="4703"/>
            <w:shd w:fill="F2F4F7" w:val="clear"/>
          </w:tcPr>
          <w:p>
            <w:pPr>
              <w:spacing w:after="0" w:before="0"/>
            </w:pPr>
            <w:r/>
            <w:r>
              <w:rPr>
                <w:rFonts w:ascii="Times New Roman" w:hAnsi="Times New Roman" w:eastAsia="宋体"/>
                <w:b/>
                <w:sz w:val="20"/>
              </w:rPr>
              <w:t>乙方全称</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统一社会信用代码</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指定对接人姓名</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对接人手机 / 邮箱</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开户名称</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开户银行</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银行账号</w:t>
            </w:r>
          </w:p>
        </w:tc>
        <w:tc>
          <w:tcPr>
            <w:tcW w:type="dxa" w:w="4703"/>
          </w:tcPr>
          <w:p>
            <w:pPr>
              <w:spacing w:after="0" w:before="0"/>
            </w:pPr>
            <w:r/>
            <w:r>
              <w:rPr>
                <w:rFonts w:ascii="Times New Roman" w:hAnsi="Times New Roman" w:eastAsia="宋体"/>
                <w:b w:val="0"/>
                <w:sz w:val="20"/>
              </w:rPr>
              <w:t>【　　　　】</w:t>
            </w:r>
          </w:p>
        </w:tc>
      </w:tr>
      <w:tr>
        <w:tc>
          <w:tcPr>
            <w:tcW w:type="dxa" w:w="4703"/>
            <w:shd w:fill="F2F4F7" w:val="clear"/>
          </w:tcPr>
          <w:p>
            <w:pPr>
              <w:spacing w:after="0" w:before="0"/>
            </w:pPr>
            <w:r/>
            <w:r>
              <w:rPr>
                <w:rFonts w:ascii="Times New Roman" w:hAnsi="Times New Roman" w:eastAsia="宋体"/>
                <w:b/>
                <w:sz w:val="20"/>
              </w:rPr>
              <w:t>备注</w:t>
            </w:r>
          </w:p>
        </w:tc>
        <w:tc>
          <w:tcPr>
            <w:tcW w:type="dxa" w:w="4703"/>
          </w:tcPr>
          <w:p>
            <w:pPr>
              <w:spacing w:after="0" w:before="0"/>
            </w:pPr>
            <w:r/>
            <w:r>
              <w:rPr>
                <w:rFonts w:ascii="Times New Roman" w:hAnsi="Times New Roman" w:eastAsia="宋体"/>
                <w:b w:val="0"/>
                <w:sz w:val="20"/>
              </w:rPr>
              <w:t>【　　　　】</w:t>
            </w:r>
          </w:p>
        </w:tc>
      </w:tr>
    </w:tbl>
    <w:p/>
    <w:p>
      <w:pPr>
        <w:spacing w:after="120" w:before="0" w:line="360" w:lineRule="auto"/>
      </w:pPr>
      <w:r>
        <w:rPr>
          <w:rFonts w:ascii="Times New Roman" w:hAnsi="Times New Roman" w:eastAsia="宋体"/>
          <w:b w:val="0"/>
          <w:sz w:val="21"/>
        </w:rPr>
        <w:t>甲方确认：________　　乙方确认：________　　日期：____年__月__日</w:t>
      </w:r>
    </w:p>
    <w:p>
      <w:pPr>
        <w:spacing w:before="0" w:after="0"/>
      </w:pPr>
      <w:r>
        <w:br w:type="page"/>
      </w:r>
    </w:p>
    <w:p>
      <w:pPr>
        <w:spacing w:after="80" w:before="0" w:line="360" w:lineRule="auto"/>
        <w:jc w:val="center"/>
      </w:pPr>
      <w:r>
        <w:rPr>
          <w:rFonts w:ascii="Times New Roman" w:hAnsi="Times New Roman" w:eastAsia="宋体"/>
          <w:b/>
          <w:sz w:val="28"/>
        </w:rPr>
        <w:t>附件二</w:t>
      </w:r>
    </w:p>
    <w:p>
      <w:pPr>
        <w:spacing w:after="120" w:before="0" w:line="360" w:lineRule="auto"/>
        <w:jc w:val="center"/>
      </w:pPr>
      <w:r>
        <w:rPr>
          <w:rFonts w:ascii="Times New Roman" w:hAnsi="Times New Roman" w:eastAsia="宋体"/>
          <w:b/>
          <w:sz w:val="24"/>
        </w:rPr>
        <w:t>返点对账表示例（字段说明）</w:t>
      </w:r>
    </w:p>
    <w:p>
      <w:pPr>
        <w:spacing w:after="200" w:before="0" w:line="360" w:lineRule="auto"/>
        <w:jc w:val="center"/>
      </w:pPr>
      <w:r>
        <w:rPr>
          <w:rFonts w:ascii="Times New Roman" w:hAnsi="Times New Roman" w:eastAsia="宋体"/>
          <w:b w:val="0"/>
          <w:sz w:val="18"/>
        </w:rPr>
        <w:t>（本附件单独成页。）</w:t>
      </w:r>
    </w:p>
    <w:p>
      <w:pPr>
        <w:spacing w:after="160" w:before="0" w:line="360" w:lineRule="auto"/>
      </w:pPr>
      <w:r>
        <w:rPr>
          <w:rFonts w:ascii="Times New Roman" w:hAnsi="Times New Roman" w:eastAsia="宋体"/>
          <w:b w:val="0"/>
          <w:sz w:val="21"/>
        </w:rPr>
        <w:t>主协议编号：【TRINITY-CH-________】</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F2F4F7" w:val="clear"/>
          </w:tcPr>
          <w:p>
            <w:pPr>
              <w:spacing w:after="0" w:before="0"/>
            </w:pPr>
            <w:r/>
            <w:r>
              <w:rPr>
                <w:rFonts w:ascii="Times New Roman" w:hAnsi="Times New Roman" w:eastAsia="宋体"/>
                <w:b/>
                <w:sz w:val="16"/>
              </w:rPr>
              <w:t>账期</w:t>
            </w:r>
          </w:p>
        </w:tc>
        <w:tc>
          <w:tcPr>
            <w:tcW w:type="dxa" w:w="1344"/>
            <w:shd w:fill="F2F4F7" w:val="clear"/>
          </w:tcPr>
          <w:p>
            <w:pPr>
              <w:spacing w:after="0" w:before="0"/>
            </w:pPr>
            <w:r/>
            <w:r>
              <w:rPr>
                <w:rFonts w:ascii="Times New Roman" w:hAnsi="Times New Roman" w:eastAsia="宋体"/>
                <w:b/>
                <w:sz w:val="16"/>
              </w:rPr>
              <w:t>渠道客户名称</w:t>
            </w:r>
          </w:p>
        </w:tc>
        <w:tc>
          <w:tcPr>
            <w:tcW w:type="dxa" w:w="1344"/>
            <w:shd w:fill="F2F4F7" w:val="clear"/>
          </w:tcPr>
          <w:p>
            <w:pPr>
              <w:spacing w:after="0" w:before="0"/>
            </w:pPr>
            <w:r/>
            <w:r>
              <w:rPr>
                <w:rFonts w:ascii="Times New Roman" w:hAnsi="Times New Roman" w:eastAsia="宋体"/>
                <w:b/>
                <w:sz w:val="16"/>
              </w:rPr>
              <w:t>最终结算单编号/日期</w:t>
            </w:r>
          </w:p>
        </w:tc>
        <w:tc>
          <w:tcPr>
            <w:tcW w:type="dxa" w:w="1344"/>
            <w:shd w:fill="F2F4F7" w:val="clear"/>
          </w:tcPr>
          <w:p>
            <w:pPr>
              <w:spacing w:after="0" w:before="0"/>
            </w:pPr>
            <w:r/>
            <w:r>
              <w:rPr>
                <w:rFonts w:ascii="Times New Roman" w:hAnsi="Times New Roman" w:eastAsia="宋体"/>
                <w:b/>
                <w:sz w:val="16"/>
              </w:rPr>
              <w:t>实际消费（人民币）</w:t>
            </w:r>
          </w:p>
        </w:tc>
        <w:tc>
          <w:tcPr>
            <w:tcW w:type="dxa" w:w="1344"/>
            <w:shd w:fill="F2F4F7" w:val="clear"/>
          </w:tcPr>
          <w:p>
            <w:pPr>
              <w:spacing w:after="0" w:before="0"/>
            </w:pPr>
            <w:r/>
            <w:r>
              <w:rPr>
                <w:rFonts w:ascii="Times New Roman" w:hAnsi="Times New Roman" w:eastAsia="宋体"/>
                <w:b/>
                <w:sz w:val="16"/>
              </w:rPr>
              <w:t>返点比例</w:t>
            </w:r>
          </w:p>
        </w:tc>
        <w:tc>
          <w:tcPr>
            <w:tcW w:type="dxa" w:w="1344"/>
            <w:shd w:fill="F2F4F7" w:val="clear"/>
          </w:tcPr>
          <w:p>
            <w:pPr>
              <w:spacing w:after="0" w:before="0"/>
            </w:pPr>
            <w:r/>
            <w:r>
              <w:rPr>
                <w:rFonts w:ascii="Times New Roman" w:hAnsi="Times New Roman" w:eastAsia="宋体"/>
                <w:b/>
                <w:sz w:val="16"/>
              </w:rPr>
              <w:t>应付返点</w:t>
            </w:r>
          </w:p>
        </w:tc>
        <w:tc>
          <w:tcPr>
            <w:tcW w:type="dxa" w:w="1344"/>
            <w:shd w:fill="F2F4F7" w:val="clear"/>
          </w:tcPr>
          <w:p>
            <w:pPr>
              <w:spacing w:after="0" w:before="0"/>
            </w:pPr>
            <w:r/>
            <w:r>
              <w:rPr>
                <w:rFonts w:ascii="Times New Roman" w:hAnsi="Times New Roman" w:eastAsia="宋体"/>
                <w:b/>
                <w:sz w:val="16"/>
              </w:rPr>
              <w:t>备注</w:t>
            </w:r>
          </w:p>
        </w:tc>
      </w:tr>
      <w:tr>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r>
      <w:tr>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r>
      <w:tr>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c>
          <w:tcPr>
            <w:tcW w:type="dxa" w:w="1344"/>
          </w:tcPr>
          <w:p>
            <w:pPr>
              <w:spacing w:after="0" w:before="0"/>
            </w:pPr>
            <w:r/>
            <w:r>
              <w:rPr>
                <w:rFonts w:ascii="Times New Roman" w:hAnsi="Times New Roman" w:eastAsia="宋体"/>
                <w:b w:val="0"/>
                <w:sz w:val="16"/>
              </w:rPr>
              <w:t>【　】</w:t>
            </w:r>
          </w:p>
        </w:tc>
      </w:tr>
    </w:tbl>
    <w:p/>
    <w:p>
      <w:pPr>
        <w:spacing w:after="80" w:before="0" w:line="360" w:lineRule="auto"/>
      </w:pPr>
      <w:r>
        <w:rPr>
          <w:rFonts w:ascii="Times New Roman" w:hAnsi="Times New Roman" w:eastAsia="宋体"/>
          <w:b w:val="0"/>
          <w:sz w:val="21"/>
        </w:rPr>
        <w:t>本期应付返点合计（大写）：【　　　　】</w:t>
      </w:r>
    </w:p>
    <w:p>
      <w:pPr>
        <w:spacing w:after="120" w:before="0" w:line="360" w:lineRule="auto"/>
      </w:pPr>
      <w:r>
        <w:rPr>
          <w:rFonts w:ascii="Times New Roman" w:hAnsi="Times New Roman" w:eastAsia="宋体"/>
          <w:b w:val="0"/>
          <w:sz w:val="21"/>
        </w:rPr>
        <w:t>甲方确认：________　　乙方确认：________　　日期：____年__月__日</w:t>
      </w:r>
    </w:p>
    <w:p>
      <w:pPr>
        <w:spacing w:after="120" w:before="0" w:line="360" w:lineRule="auto"/>
      </w:pPr>
      <w:r>
        <w:rPr>
          <w:rFonts w:ascii="Times New Roman" w:hAnsi="Times New Roman" w:eastAsia="宋体"/>
          <w:b w:val="0"/>
          <w:sz w:val="18"/>
        </w:rPr>
        <w:t>【送财务/法务】请重点审第3.4条：默认渠道客户承担；是否改为甲方承担或小额/大额分档，审阅后定稿。</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