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r>
        <w:br w:type="page"/>
      </w:r>
    </w:p>
    <w:p>
      <w:pPr>
        <w:spacing w:before="240" w:after="120"/>
        <w:jc w:val="center"/>
        <w:outlineLvl w:val="0"/>
      </w:pPr>
      <w:r>
        <w:rPr>
          <w:rFonts w:ascii="黑体" w:hAnsi="黑体" w:eastAsia="黑体"/>
          <w:b/>
          <w:sz w:val="32"/>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r>
        <w:br w:type="page"/>
      </w:r>
    </w:p>
    <w:p>
      <w:pPr>
        <w:spacing w:before="240" w:after="120"/>
        <w:jc w:val="center"/>
        <w:outlineLvl w:val="0"/>
      </w:pPr>
      <w:r>
        <w:rPr>
          <w:rFonts w:ascii="黑体" w:hAnsi="黑体" w:eastAsia="黑体"/>
          <w:b/>
          <w:sz w:val="32"/>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r>
        <w:br w:type="page"/>
      </w:r>
    </w:p>
    <w:p>
      <w:pPr>
        <w:jc w:val="center"/>
      </w:pPr>
      <w:r>
        <w:rPr>
          <w:rFonts w:ascii="黑体" w:hAnsi="黑体" w:eastAsia="黑体"/>
          <w:b/>
          <w:sz w:val="32"/>
        </w:rPr>
        <w:t>目  录</w:t>
      </w:r>
    </w:p>
    <w:p>
      <w:pPr>
        <w:jc w:val="center"/>
      </w:pPr>
      <w:r>
        <w:rPr>
          <w:rFonts w:ascii="宋体" w:hAnsi="宋体" w:eastAsia="宋体"/>
          <w:color w:val="808080"/>
          <w:sz w:val="18"/>
        </w:rPr>
        <w:t>（在 Word 中右键此处 → 更新域，即生成带页码的目录）</w:t>
      </w:r>
    </w:p>
    <w:p>
      <w:r>
        <w:rPr>
          <w:rFonts w:ascii="宋体" w:hAnsi="宋体" w:eastAsia="宋体"/>
          <w:sz w:val="21"/>
        </w:rPr>
        <w:fldChar w:fldCharType="begin"/>
        <w:instrText xml:space="preserve">TOC \o "1-3" \h \z \u</w:instrText>
        <w:fldChar w:fldCharType="separate"/>
        <w:t>右键→更新域，生成目录</w:t>
        <w:fldChar w:fldCharType="end"/>
      </w:r>
    </w:p>
    <w:p>
      <w:r>
        <w:br w:type="page"/>
      </w:r>
    </w:p>
    <w:p>
      <w:r>
        <w:br w:type="page"/>
      </w:r>
    </w:p>
    <w:p>
      <w:pPr>
        <w:spacing w:before="240" w:after="120"/>
        <w:jc w:val="center"/>
        <w:outlineLvl w:val="0"/>
      </w:pPr>
      <w:r>
        <w:rPr>
          <w:rFonts w:ascii="黑体" w:hAnsi="黑体" w:eastAsia="黑体"/>
          <w:b/>
          <w:sz w:val="32"/>
        </w:rPr>
        <w:t>第1章 绪论</w:t>
      </w:r>
    </w:p>
    <w:p>
      <w:pPr>
        <w:spacing w:before="240" w:after="120"/>
        <w:outlineLvl w:val="1"/>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outlineLvl w:val="1"/>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outlineLvl w:val="1"/>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r>
        <w:br w:type="page"/>
      </w:r>
    </w:p>
    <w:p>
      <w:pPr>
        <w:spacing w:before="240" w:after="120"/>
        <w:jc w:val="center"/>
        <w:outlineLvl w:val="0"/>
      </w:pPr>
      <w:r>
        <w:rPr>
          <w:rFonts w:ascii="黑体" w:hAnsi="黑体" w:eastAsia="黑体"/>
          <w:b/>
          <w:sz w:val="32"/>
        </w:rPr>
        <w:t>第2章 相关技术基础</w:t>
      </w:r>
    </w:p>
    <w:p>
      <w:pPr>
        <w:spacing w:before="240" w:after="120"/>
        <w:outlineLvl w:val="1"/>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outlineLvl w:val="1"/>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outlineLvl w:val="1"/>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outlineLvl w:val="2"/>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outlineLvl w:val="2"/>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outlineLvl w:val="1"/>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outlineLvl w:val="1"/>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r>
        <w:br w:type="page"/>
      </w:r>
    </w:p>
    <w:p>
      <w:pPr>
        <w:spacing w:before="240" w:after="120"/>
        <w:jc w:val="center"/>
        <w:outlineLvl w:val="0"/>
      </w:pPr>
      <w:r>
        <w:rPr>
          <w:rFonts w:ascii="黑体" w:hAnsi="黑体" w:eastAsia="黑体"/>
          <w:b/>
          <w:sz w:val="32"/>
        </w:rPr>
        <w:t>第3章 系统需求分析与总体设计</w:t>
      </w:r>
    </w:p>
    <w:p>
      <w:pPr>
        <w:spacing w:before="240" w:after="120"/>
        <w:outlineLvl w:val="1"/>
      </w:pPr>
      <w:r>
        <w:rPr>
          <w:rFonts w:ascii="黑体" w:hAnsi="黑体" w:eastAsia="黑体"/>
          <w:b/>
          <w:sz w:val="28"/>
        </w:rPr>
        <w:t>3.1 系统需求分析</w:t>
      </w:r>
    </w:p>
    <w:p>
      <w:pPr>
        <w:spacing w:before="240" w:after="120"/>
        <w:outlineLvl w:val="2"/>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AP模式创建无线接入点，并运行Web服务器，提供远程诊断界面。用户可通过浏览器访问系统功能，包括查看实时数据、浏览操作日志、下载诊断报告等。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outlineLvl w:val="2"/>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outlineLvl w:val="1"/>
      </w:pPr>
      <w:r>
        <w:rPr>
          <w:rFonts w:ascii="黑体" w:hAnsi="黑体" w:eastAsia="黑体"/>
          <w:b/>
          <w:sz w:val="28"/>
        </w:rPr>
        <w:t>3.2 系统总体架构</w:t>
      </w:r>
    </w:p>
    <w:p>
      <w:pPr>
        <w:spacing w:before="240" w:after="120"/>
        <w:outlineLvl w:val="2"/>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outlineLvl w:val="2"/>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outlineLvl w:val="1"/>
      </w:pPr>
      <w:r>
        <w:rPr>
          <w:rFonts w:ascii="黑体" w:hAnsi="黑体" w:eastAsia="黑体"/>
          <w:b/>
          <w:sz w:val="28"/>
        </w:rPr>
        <w:t>3.3 组件化设计</w:t>
      </w:r>
    </w:p>
    <w:p>
      <w:pPr>
        <w:spacing w:before="240" w:after="120"/>
        <w:outlineLvl w:val="2"/>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Web服务器。Web服务器当前提供三个HTTP GET接口：根路径"/"返回工具首页与接口索引，路径"/report"优先返回SPIFFS中的HTML诊断报告（不存在时回退为JSON），路径"/log"以纯文本返回操作日志，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outlineLvl w:val="2"/>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outlineLvl w:val="2"/>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r>
        <w:br w:type="page"/>
      </w:r>
    </w:p>
    <w:p>
      <w:pPr>
        <w:spacing w:before="240" w:after="120"/>
        <w:jc w:val="center"/>
        <w:outlineLvl w:val="0"/>
      </w:pPr>
      <w:r>
        <w:rPr>
          <w:rFonts w:ascii="黑体" w:hAnsi="黑体" w:eastAsia="黑体"/>
          <w:b/>
          <w:sz w:val="32"/>
        </w:rPr>
        <w:t>第4章 硬件设计</w:t>
      </w:r>
    </w:p>
    <w:p>
      <w:pPr>
        <w:spacing w:before="240" w:after="120"/>
        <w:outlineLvl w:val="1"/>
      </w:pPr>
      <w:r>
        <w:rPr>
          <w:rFonts w:ascii="黑体" w:hAnsi="黑体" w:eastAsia="黑体"/>
          <w:b/>
          <w:sz w:val="28"/>
        </w:rPr>
        <w:t>4.1 系统硬件总体方案</w:t>
      </w:r>
    </w:p>
    <w:p>
      <w:pPr>
        <w:spacing w:before="240" w:after="120"/>
        <w:outlineLvl w:val="2"/>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ind w:left="850"/>
      </w:pPr>
      <w:r>
        <w:rPr>
          <w:rFonts w:ascii="宋体" w:hAnsi="宋体" w:eastAsia="宋体"/>
          <w:i/>
          <w:sz w:val="24"/>
        </w:rPr>
        <w:t>硬件总体架构如图 4-1 所示：供电链（USB-C → PTC/TVS → AMS1117-3.3）、主控最小系统、</w:t>
      </w:r>
    </w:p>
    <w:p>
      <w:pPr>
        <w:ind w:left="850"/>
      </w:pPr>
      <w:r>
        <w:rPr>
          <w:rFonts w:ascii="宋体" w:hAnsi="宋体" w:eastAsia="宋体"/>
          <w:i/>
          <w:sz w:val="24"/>
        </w:rPr>
        <w:t>RS-485 接口、显示与按键、波形分压取样，以及调试用的 CH340C 下载通道。</w:t>
      </w:r>
    </w:p>
    <w:p>
      <w:pPr>
        <w:spacing w:before="120" w:after="60"/>
        <w:jc w:val="center"/>
      </w:pPr>
      <w:r>
        <w:drawing>
          <wp:inline xmlns:a="http://schemas.openxmlformats.org/drawingml/2006/main" xmlns:pic="http://schemas.openxmlformats.org/drawingml/2006/picture">
            <wp:extent cx="5394960" cy="3481477"/>
            <wp:docPr id="1" name="Picture 1"/>
            <wp:cNvGraphicFramePr>
              <a:graphicFrameLocks noChangeAspect="1"/>
            </wp:cNvGraphicFramePr>
            <a:graphic>
              <a:graphicData uri="http://schemas.openxmlformats.org/drawingml/2006/picture">
                <pic:pic>
                  <pic:nvPicPr>
                    <pic:cNvPr id="0" name="fig_4_1_hw_arch.png"/>
                    <pic:cNvPicPr/>
                  </pic:nvPicPr>
                  <pic:blipFill>
                    <a:blip r:embed="rId10"/>
                    <a:stretch>
                      <a:fillRect/>
                    </a:stretch>
                  </pic:blipFill>
                  <pic:spPr>
                    <a:xfrm>
                      <a:off x="0" y="0"/>
                      <a:ext cx="5394960" cy="3481477"/>
                    </a:xfrm>
                    <a:prstGeom prst="rect"/>
                  </pic:spPr>
                </pic:pic>
              </a:graphicData>
            </a:graphic>
          </wp:inline>
        </w:drawing>
      </w:r>
    </w:p>
    <w:p>
      <w:pPr>
        <w:spacing w:after="200"/>
        <w:jc w:val="center"/>
      </w:pPr>
      <w:r>
        <w:rPr>
          <w:rFonts w:ascii="宋体" w:hAnsi="宋体" w:eastAsia="宋体"/>
          <w:sz w:val="21"/>
        </w:rPr>
        <w:t>图 4-1  系统硬件架构</w:t>
      </w:r>
    </w:p>
    <w:p>
      <w:pPr>
        <w:spacing w:before="240" w:after="120"/>
        <w:outlineLvl w:val="2"/>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本版固件未启用触摸驱动，交互全部由4个物理按键完成：四键机身尺寸下，触摸命中区与列表行高（28像素）难以兼顾戴手套操作，按键反而更可靠；XPT2046的CS与IRQ已在硬件上引出（GPIO46/GPIO3），作为后续扩展预留。</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outlineLvl w:val="1"/>
      </w:pPr>
      <w:r>
        <w:rPr>
          <w:rFonts w:ascii="黑体" w:hAnsi="黑体" w:eastAsia="黑体"/>
          <w:b/>
          <w:sz w:val="28"/>
        </w:rPr>
        <w:t>4.2 ESP32-S3最小系统</w:t>
      </w:r>
    </w:p>
    <w:p>
      <w:pPr>
        <w:spacing w:before="240" w:after="120"/>
        <w:outlineLvl w:val="2"/>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outlineLvl w:val="2"/>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outlineLvl w:val="2"/>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outlineLvl w:val="2"/>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outlineLvl w:val="1"/>
      </w:pPr>
      <w:r>
        <w:rPr>
          <w:rFonts w:ascii="黑体" w:hAnsi="黑体" w:eastAsia="黑体"/>
          <w:b/>
          <w:sz w:val="28"/>
        </w:rPr>
        <w:t>4.3 RS-485通信电路</w:t>
      </w:r>
    </w:p>
    <w:p>
      <w:pPr>
        <w:spacing w:before="240" w:after="120"/>
        <w:outlineLvl w:val="2"/>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ind w:firstLine="480"/>
      </w:pPr>
      <w:r>
        <w:rPr>
          <w:rFonts w:ascii="宋体" w:hAnsi="宋体" w:eastAsia="宋体"/>
          <w:sz w:val="24"/>
        </w:rPr>
        <w:t>接口电路的连接关系如图 4-2 所示（网络名与器件直接取自仓库 hardware/netlist.json， 与固件 app_config.h 的引脚定义由自检脚本强制一致）。</w:t>
      </w:r>
    </w:p>
    <w:p>
      <w:pPr>
        <w:spacing w:before="120" w:after="60"/>
        <w:jc w:val="center"/>
      </w:pPr>
      <w:r>
        <w:drawing>
          <wp:inline xmlns:a="http://schemas.openxmlformats.org/drawingml/2006/main" xmlns:pic="http://schemas.openxmlformats.org/drawingml/2006/picture">
            <wp:extent cx="5394960" cy="2936665"/>
            <wp:docPr id="2" name="Picture 2"/>
            <wp:cNvGraphicFramePr>
              <a:graphicFrameLocks noChangeAspect="1"/>
            </wp:cNvGraphicFramePr>
            <a:graphic>
              <a:graphicData uri="http://schemas.openxmlformats.org/drawingml/2006/picture">
                <pic:pic>
                  <pic:nvPicPr>
                    <pic:cNvPr id="0" name="fig_4_2_rs485.png"/>
                    <pic:cNvPicPr/>
                  </pic:nvPicPr>
                  <pic:blipFill>
                    <a:blip r:embed="rId11"/>
                    <a:stretch>
                      <a:fillRect/>
                    </a:stretch>
                  </pic:blipFill>
                  <pic:spPr>
                    <a:xfrm>
                      <a:off x="0" y="0"/>
                      <a:ext cx="5394960" cy="2936665"/>
                    </a:xfrm>
                    <a:prstGeom prst="rect"/>
                  </pic:spPr>
                </pic:pic>
              </a:graphicData>
            </a:graphic>
          </wp:inline>
        </w:drawing>
      </w:r>
    </w:p>
    <w:p>
      <w:pPr>
        <w:spacing w:after="200"/>
        <w:jc w:val="center"/>
      </w:pPr>
      <w:r>
        <w:rPr>
          <w:rFonts w:ascii="宋体" w:hAnsi="宋体" w:eastAsia="宋体"/>
          <w:sz w:val="21"/>
        </w:rPr>
        <w:t>图 4-2  RS-485 接口电路</w:t>
      </w:r>
    </w:p>
    <w:p>
      <w:pPr>
        <w:spacing w:before="240" w:after="120"/>
        <w:outlineLvl w:val="2"/>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outlineLvl w:val="1"/>
      </w:pPr>
      <w:r>
        <w:rPr>
          <w:rFonts w:ascii="黑体" w:hAnsi="黑体" w:eastAsia="黑体"/>
          <w:b/>
          <w:sz w:val="28"/>
        </w:rPr>
        <w:t>4.4 TFT显示电路</w:t>
      </w:r>
    </w:p>
    <w:p>
      <w:pPr>
        <w:spacing w:before="240" w:after="120"/>
        <w:outlineLvl w:val="2"/>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outlineLvl w:val="2"/>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outlineLvl w:val="2"/>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outlineLvl w:val="1"/>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outlineLvl w:val="1"/>
      </w:pPr>
      <w:r>
        <w:rPr>
          <w:rFonts w:ascii="黑体" w:hAnsi="黑体" w:eastAsia="黑体"/>
          <w:b/>
          <w:sz w:val="28"/>
        </w:rPr>
        <w:t>4.6 ADC采集电路</w:t>
      </w:r>
    </w:p>
    <w:p>
      <w:pPr>
        <w:spacing w:before="240" w:after="120"/>
        <w:outlineLvl w:val="2"/>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outlineLvl w:val="2"/>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outlineLvl w:val="1"/>
      </w:pPr>
      <w:r>
        <w:rPr>
          <w:rFonts w:ascii="黑体" w:hAnsi="黑体" w:eastAsia="黑体"/>
          <w:b/>
          <w:sz w:val="28"/>
        </w:rPr>
        <w:t>4.7 PCB设计要点</w:t>
      </w:r>
    </w:p>
    <w:p>
      <w:pPr>
        <w:spacing w:before="240" w:after="120"/>
        <w:outlineLvl w:val="2"/>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outlineLvl w:val="2"/>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outlineLvl w:val="2"/>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r>
        <w:br w:type="page"/>
      </w:r>
    </w:p>
    <w:p>
      <w:pPr>
        <w:spacing w:before="240" w:after="120"/>
        <w:jc w:val="center"/>
        <w:outlineLvl w:val="0"/>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outlineLvl w:val="1"/>
      </w:pPr>
      <w:r>
        <w:rPr>
          <w:rFonts w:ascii="黑体" w:hAnsi="黑体" w:eastAsia="黑体"/>
          <w:b/>
          <w:sz w:val="28"/>
        </w:rPr>
        <w:t>5.1 软件总体框架</w:t>
      </w:r>
    </w:p>
    <w:p>
      <w:pPr>
        <w:spacing w:before="240" w:after="120"/>
        <w:outlineLvl w:val="2"/>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outlineLvl w:val="2"/>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outlineLvl w:val="2"/>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ind w:firstLine="480"/>
      </w:pPr>
      <w:r>
        <w:rPr>
          <w:rFonts w:ascii="宋体" w:hAnsi="宋体" w:eastAsia="宋体"/>
          <w:sz w:val="24"/>
        </w:rPr>
        <w:t>各组件的分层关系如图 5-1 所示，依赖方向自下而上，具体依赖边由各组件 CMakeLists.txt 的 REQUIRES 声明，编译期即被 ESP-IDF 构建系统校验。</w:t>
      </w:r>
    </w:p>
    <w:p>
      <w:pPr>
        <w:spacing w:before="120" w:after="60"/>
        <w:jc w:val="center"/>
      </w:pPr>
      <w:r>
        <w:drawing>
          <wp:inline xmlns:a="http://schemas.openxmlformats.org/drawingml/2006/main" xmlns:pic="http://schemas.openxmlformats.org/drawingml/2006/picture">
            <wp:extent cx="5394960" cy="3149711"/>
            <wp:docPr id="3" name="Picture 3"/>
            <wp:cNvGraphicFramePr>
              <a:graphicFrameLocks noChangeAspect="1"/>
            </wp:cNvGraphicFramePr>
            <a:graphic>
              <a:graphicData uri="http://schemas.openxmlformats.org/drawingml/2006/picture">
                <pic:pic>
                  <pic:nvPicPr>
                    <pic:cNvPr id="0" name="fig_5_1_sw_arch.png"/>
                    <pic:cNvPicPr/>
                  </pic:nvPicPr>
                  <pic:blipFill>
                    <a:blip r:embed="rId12"/>
                    <a:stretch>
                      <a:fillRect/>
                    </a:stretch>
                  </pic:blipFill>
                  <pic:spPr>
                    <a:xfrm>
                      <a:off x="0" y="0"/>
                      <a:ext cx="5394960" cy="3149711"/>
                    </a:xfrm>
                    <a:prstGeom prst="rect"/>
                  </pic:spPr>
                </pic:pic>
              </a:graphicData>
            </a:graphic>
          </wp:inline>
        </w:drawing>
      </w:r>
    </w:p>
    <w:p>
      <w:pPr>
        <w:spacing w:after="200"/>
        <w:jc w:val="center"/>
      </w:pPr>
      <w:r>
        <w:rPr>
          <w:rFonts w:ascii="宋体" w:hAnsi="宋体" w:eastAsia="宋体"/>
          <w:sz w:val="21"/>
        </w:rPr>
        <w:t>图 5-1  软件组件分层</w:t>
      </w:r>
    </w:p>
    <w:p>
      <w:pPr>
        <w:spacing w:before="240" w:after="120"/>
        <w:outlineLvl w:val="1"/>
      </w:pPr>
      <w:r>
        <w:rPr>
          <w:rFonts w:ascii="黑体" w:hAnsi="黑体" w:eastAsia="黑体"/>
          <w:b/>
          <w:sz w:val="28"/>
        </w:rPr>
        <w:t>5.2 Modbus协议栈实现</w:t>
      </w:r>
    </w:p>
    <w:p>
      <w:pPr>
        <w:spacing w:before="240" w:after="120"/>
        <w:outlineLvl w:val="2"/>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outlineLvl w:val="2"/>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outlineLvl w:val="2"/>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TCP连接采用BSD Socket API实现，创建SOCK_STREAM类型的TCP套接字后通过connect函数建立到目标服务器的连接。收发超时并非固定值：modbus_master_configure()会把当前配置的timeout_ms同步给TCP模块，每次请求发送前按该值重设SO_RCVTIMEO/SO_SNDTIMEO，因此扫描时的50ms与单点读写时的配置值都能生效。发送和接收通过send和recv函数完成，响应时间通过gettimeofday在发送前和接收后分别记录时间戳并计算差值获得。接收后需校验MBAP头中的协议号与事务号：事务号与本次请求不一致的响应按无效帧丢弃，避免上一次超时请求的迟到响应被误当成本次结果。发送或接收失败时立即关闭socket并置为未连接状态，上层据此自动回退到RS-485通道。</w:t>
      </w:r>
    </w:p>
    <w:p>
      <w:pPr>
        <w:spacing w:before="240" w:after="120"/>
        <w:outlineLvl w:val="2"/>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批量写由modbus_write_multiple_regs（FC16）与modbus_write_multiple_coils（FC15）封装，二者除了发送请求外，还会校验响应中回显的起始地址与数量是否与请求一致，避免从站返回别的报文却被当作成功。</w:t>
      </w:r>
    </w:p>
    <w:p>
      <w:pPr>
        <w:ind w:firstLine="480"/>
      </w:pPr>
      <w:r>
        <w:rPr>
          <w:rFonts w:ascii="宋体" w:hAnsi="宋体" w:eastAsia="宋体"/>
          <w:sz w:val="24"/>
        </w:rPr>
        <w:t>设备详情页对写操作提供两条入口：单个寄存器/线圈采用逐位数字输入（UP/DOWN 改当前位、OK 跳下一位、长按 OK 直接提交），提交后立即回读一次，把读回值显示在页面上——从站返回"写入成功"并不等于值真的生效，部分设备会对写入值做钳位；对保持寄存器另有"批量填充"入口，用 FC16 一次把同一数值写入起始地址起的 4 个连续寄存器，用于快速初始化一组参数。</w:t>
      </w:r>
    </w:p>
    <w:p>
      <w:pPr>
        <w:spacing w:before="240" w:after="120"/>
        <w:outlineLvl w:val="1"/>
      </w:pPr>
      <w:r>
        <w:rPr>
          <w:rFonts w:ascii="黑体" w:hAnsi="黑体" w:eastAsia="黑体"/>
          <w:b/>
          <w:sz w:val="28"/>
        </w:rPr>
        <w:t>5.3 设备扫描与寄存器分类</w:t>
      </w:r>
    </w:p>
    <w:p>
      <w:pPr>
        <w:spacing w:before="240" w:after="120"/>
        <w:outlineLvl w:val="2"/>
      </w:pPr>
      <w:r>
        <w:rPr>
          <w:rFonts w:ascii="黑体" w:hAnsi="黑体" w:eastAsia="黑体"/>
          <w:b/>
          <w:sz w:val="24"/>
        </w:rPr>
        <w:t>5.3.1 多波特率扫描策略</w:t>
      </w:r>
    </w:p>
    <w:p>
      <w:pPr>
        <w:ind w:firstLine="480"/>
      </w:pPr>
      <w:r>
        <w:rPr>
          <w:rFonts w:ascii="宋体" w:hAnsi="宋体" w:eastAsia="宋体"/>
          <w:sz w:val="24"/>
        </w:rPr>
        <w:t>设备扫描模块负责自动发现RS-485总线上的Modbus从站设备。扫描按波特率分档进行，以适应不同设备使用的通信参数：扫描器预定义了9600、19200、38400、57600、115200五档波特率，全档模式按顺序逐档遍历（同一时刻只用一种波特率，串行探测），快速模式则只使用当前配置的一档。选择五档而非更全的列表，是因为RS-485现场设备绝大多数工作在9600~115200区间，更低的1200/2400/4800多见于老旧仪表，需要时可在设置页把波特率调到该档后用快速模式扫描。</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outlineLvl w:val="2"/>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outlineLvl w:val="2"/>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outlineLvl w:val="1"/>
      </w:pPr>
      <w:r>
        <w:rPr>
          <w:rFonts w:ascii="黑体" w:hAnsi="黑体" w:eastAsia="黑体"/>
          <w:b/>
          <w:sz w:val="28"/>
        </w:rPr>
        <w:t>5.4 报文抓取与流量统计</w:t>
      </w:r>
    </w:p>
    <w:p>
      <w:pPr>
        <w:spacing w:before="240" w:after="120"/>
        <w:outlineLvl w:val="2"/>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w:t>
      </w:r>
    </w:p>
    <w:p>
      <w:pPr>
        <w:spacing w:before="240" w:after="120"/>
        <w:outlineLvl w:val="2"/>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outlineLvl w:val="1"/>
      </w:pPr>
      <w:r>
        <w:rPr>
          <w:rFonts w:ascii="黑体" w:hAnsi="黑体" w:eastAsia="黑体"/>
          <w:b/>
          <w:sz w:val="28"/>
        </w:rPr>
        <w:t>5.5 波形采集与信号处理</w:t>
      </w:r>
    </w:p>
    <w:p>
      <w:pPr>
        <w:spacing w:before="240" w:after="120"/>
        <w:outlineLvl w:val="2"/>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outlineLvl w:val="2"/>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outlineLvl w:val="2"/>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outlineLvl w:val="2"/>
      </w:pPr>
      <w:r>
        <w:rPr>
          <w:rFonts w:ascii="黑体" w:hAnsi="黑体" w:eastAsia="黑体"/>
          <w:b/>
          <w:sz w:val="24"/>
        </w:rPr>
        <w:t>5.5.4 特征参数提取</w:t>
      </w:r>
    </w:p>
    <w:p>
      <w:pPr>
        <w:ind w:firstLine="480"/>
      </w:pPr>
      <w:r>
        <w:rPr>
          <w:rFonts w:ascii="宋体" w:hAnsi="宋体" w:eastAsia="宋体"/>
          <w:sz w:val="24"/>
        </w:rPr>
        <w:t>除峰峰值与直流分量外，FR5还要求给出总线空闲电压与边沿时间，二者分别由signal_measure_idle与signal_measure_rise_time_us计算：</w:t>
      </w:r>
    </w:p>
    <w:p>
      <w:pPr>
        <w:ind w:firstLine="480"/>
      </w:pPr>
      <w:r>
        <w:rPr>
          <w:rFonts w:ascii="宋体" w:hAnsi="宋体" w:eastAsia="宋体"/>
          <w:sz w:val="24"/>
        </w:rPr>
        <w:t>空闲电压取样本直方图的众数而非均值。RS-485总线空闲时电平停留在高位（差分A线为高），而一帧数据中0、1大致各半，若直接求平均，结果会被数据段拉向中点，无法代表静默电平；众数落在出现次数最多的电平上，恰好对应空闲电平。实现上将12位采样值量化为256个桶（右移4位），统计后取最大桶的中心值，1000点样本仅需2KB查表与一次遍历。</w:t>
      </w:r>
    </w:p>
    <w:p>
      <w:pPr>
        <w:ind w:firstLine="480"/>
      </w:pPr>
      <w:r>
        <w:rPr>
          <w:rFonts w:ascii="宋体" w:hAnsi="宋体" w:eastAsia="宋体"/>
          <w:sz w:val="24"/>
        </w:rPr>
        <w:t>上升时间取首个上升沿从10%到90%幅值所经历的采样点数，乘以采样周期换算为微秒。为避免在平坦或噪声信号上给出无意义的数值，幅度低于100LSB（约80mV）或找不到完整边沿时函数返回-1，界面显示Rise: -- (no edge)而不是一个看起来正常的假数据。</w:t>
      </w:r>
    </w:p>
    <w:p>
      <w:pPr>
        <w:spacing w:before="240" w:after="120"/>
        <w:outlineLvl w:val="2"/>
      </w:pPr>
      <w:r>
        <w:rPr>
          <w:rFonts w:ascii="黑体" w:hAnsi="黑体" w:eastAsia="黑体"/>
          <w:b/>
          <w:sz w:val="24"/>
        </w:rPr>
        <w:t>5.5.5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outlineLvl w:val="1"/>
      </w:pPr>
      <w:r>
        <w:rPr>
          <w:rFonts w:ascii="黑体" w:hAnsi="黑体" w:eastAsia="黑体"/>
          <w:b/>
          <w:sz w:val="28"/>
        </w:rPr>
        <w:t>5.6 诊断健康评分模型</w:t>
      </w:r>
    </w:p>
    <w:p>
      <w:pPr>
        <w:spacing w:before="240" w:after="120"/>
        <w:outlineLvl w:val="2"/>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outlineLvl w:val="2"/>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outlineLvl w:val="1"/>
      </w:pPr>
      <w:r>
        <w:rPr>
          <w:rFonts w:ascii="黑体" w:hAnsi="黑体" w:eastAsia="黑体"/>
          <w:b/>
          <w:sz w:val="28"/>
        </w:rPr>
        <w:t>5.7 GUI框架与页面管理</w:t>
      </w:r>
    </w:p>
    <w:p>
      <w:pPr>
        <w:spacing w:before="240" w:after="120"/>
        <w:outlineLvl w:val="2"/>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outlineLvl w:val="2"/>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outlineLvl w:val="2"/>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ind w:firstLine="480"/>
      </w:pPr>
      <w:r>
        <w:rPr>
          <w:rFonts w:ascii="宋体" w:hAnsi="宋体" w:eastAsia="宋体"/>
          <w:sz w:val="24"/>
        </w:rPr>
        <w:t>页面的组织结构与页面栈行为如图 5-2 所示。</w:t>
      </w:r>
    </w:p>
    <w:p>
      <w:pPr>
        <w:spacing w:before="120" w:after="60"/>
        <w:jc w:val="center"/>
      </w:pPr>
      <w:r>
        <w:drawing>
          <wp:inline xmlns:a="http://schemas.openxmlformats.org/drawingml/2006/main" xmlns:pic="http://schemas.openxmlformats.org/drawingml/2006/picture">
            <wp:extent cx="5394960" cy="3174634"/>
            <wp:docPr id="4" name="Picture 4"/>
            <wp:cNvGraphicFramePr>
              <a:graphicFrameLocks noChangeAspect="1"/>
            </wp:cNvGraphicFramePr>
            <a:graphic>
              <a:graphicData uri="http://schemas.openxmlformats.org/drawingml/2006/picture">
                <pic:pic>
                  <pic:nvPicPr>
                    <pic:cNvPr id="0" name="fig_5_2_page_tree.png"/>
                    <pic:cNvPicPr/>
                  </pic:nvPicPr>
                  <pic:blipFill>
                    <a:blip r:embed="rId13"/>
                    <a:stretch>
                      <a:fillRect/>
                    </a:stretch>
                  </pic:blipFill>
                  <pic:spPr>
                    <a:xfrm>
                      <a:off x="0" y="0"/>
                      <a:ext cx="5394960" cy="3174634"/>
                    </a:xfrm>
                    <a:prstGeom prst="rect"/>
                  </pic:spPr>
                </pic:pic>
              </a:graphicData>
            </a:graphic>
          </wp:inline>
        </w:drawing>
      </w:r>
    </w:p>
    <w:p>
      <w:pPr>
        <w:spacing w:after="200"/>
        <w:jc w:val="center"/>
      </w:pPr>
      <w:r>
        <w:rPr>
          <w:rFonts w:ascii="宋体" w:hAnsi="宋体" w:eastAsia="宋体"/>
          <w:sz w:val="21"/>
        </w:rPr>
        <w:t>图 5-2  GUI 页面结构与页面栈</w:t>
      </w:r>
    </w:p>
    <w:p>
      <w:pPr>
        <w:spacing w:before="240" w:after="120"/>
        <w:outlineLvl w:val="1"/>
      </w:pPr>
      <w:r>
        <w:rPr>
          <w:rFonts w:ascii="黑体" w:hAnsi="黑体" w:eastAsia="黑体"/>
          <w:b/>
          <w:sz w:val="28"/>
        </w:rPr>
        <w:t>5.8 WiFi服务与Web服务器</w:t>
      </w:r>
    </w:p>
    <w:p>
      <w:pPr>
        <w:spacing w:before="240" w:after="120"/>
        <w:outlineLvl w:val="2"/>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固件保留了STA（Station）模式的代码路径，目标路由器的SSID与密码在app_config.h中配置（当前版本未提供屏幕输入界面，因四键机身不适合输入Wi-Fi密码；设置页仅只读显示当前AP名称）。STA模式适用于需要将诊断数据上传到远程服务器的场景。</w:t>
      </w:r>
    </w:p>
    <w:p>
      <w:pPr>
        <w:spacing w:before="240" w:after="120"/>
        <w:outlineLvl w:val="2"/>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Web服务器基于ESP-IDF的esp_http_server组件实现，监听80端口。服务器注册了三个HTTP GET接口：</w:t>
      </w:r>
    </w:p>
    <w:p>
      <w:pPr>
        <w:ind w:left="567" w:firstLine="0"/>
      </w:pPr>
      <w:r>
        <w:rPr>
          <w:rFonts w:ascii="宋体" w:hAnsi="宋体" w:eastAsia="宋体"/>
          <w:sz w:val="24"/>
        </w:rPr>
        <w:t>• GET /：返回工具首页的静态HTML页面，页面中给出可用接口的索引及指向/report与/log的链接。</w:t>
      </w:r>
    </w:p>
    <w:p>
      <w:pPr>
        <w:ind w:left="567" w:firstLine="0"/>
      </w:pPr>
      <w:r>
        <w:rPr>
          <w:rFonts w:ascii="宋体" w:hAnsi="宋体" w:eastAsia="宋体"/>
          <w:sz w:val="24"/>
        </w:rPr>
        <w:t>• GET /report：优先返回/spiffs/report.html（text/html），该文件不存在时回退到/spiffs/report.json（application/json）。由于报告文件体积可能较大，响应采用HTTP分块传输（chunked transfer encoding）逐块发送，避免一次性申请大块堆内存；两份文件都不存在时返回404错误。</w:t>
      </w:r>
    </w:p>
    <w:p>
      <w:pPr>
        <w:ind w:left="567" w:firstLine="0"/>
      </w:pPr>
      <w:r>
        <w:rPr>
          <w:rFonts w:ascii="宋体" w:hAnsi="宋体" w:eastAsia="宋体"/>
          <w:sz w:val="24"/>
        </w:rPr>
        <w:t>• GET /log：以text/plain类型返回操作日志，最多200行；日志为空时返回(log empty)。</w:t>
      </w:r>
    </w:p>
    <w:p>
      <w:pPr>
        <w:ind w:firstLine="480"/>
      </w:pPr>
      <w:r>
        <w:rPr>
          <w:rFonts w:ascii="宋体" w:hAnsi="宋体" w:eastAsia="宋体"/>
          <w:sz w:val="24"/>
        </w:rPr>
        <w:t>诊断报告本身由diag_report组件的报告生成器生成，内容包含设备信息、健康评分、响应时间统计、流量统计与诊断建议，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outlineLvl w:val="2"/>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outlineLvl w:val="1"/>
      </w:pPr>
      <w:r>
        <w:rPr>
          <w:rFonts w:ascii="黑体" w:hAnsi="黑体" w:eastAsia="黑体"/>
          <w:b/>
          <w:sz w:val="28"/>
        </w:rPr>
        <w:t>5.9 存储管理</w:t>
      </w:r>
    </w:p>
    <w:p>
      <w:pPr>
        <w:spacing w:before="240" w:after="120"/>
        <w:outlineLvl w:val="2"/>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spacing w:before="240" w:after="120"/>
        <w:outlineLvl w:val="2"/>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为免日志吃满仅64KB的SPIFFS分区（诊断报告也存放在此），单份日志设有8KB上限，超过后轮转为新文件并写入一行分隔标记，保证报告始终有空间可写。</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outlineLvl w:val="2"/>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操作日志记录了设备扫描结果、通信异常、配置变更、写寄存器结果等关键事件。由于本设备未配置RTC，日志时间戳采用开机计时（[T+12.345s]），事件描述紧随其后，例如[T+12.345s] scan: 5 device(s), addr 1-247, 5 baud rate(s)；若后续接入SNTP授时，只需替换该前缀，日志正文与解析逻辑均不受影响。当前记录的事件包括开机、设备扫描、寄存器分类、写寄存器（含读回值与失败码）、报告导出、串口参数变更与TCP连接结果，日志可通过Web接口/log在线浏览。</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r>
        <w:br w:type="page"/>
      </w:r>
    </w:p>
    <w:p>
      <w:pPr>
        <w:spacing w:before="240" w:after="120"/>
        <w:jc w:val="center"/>
        <w:outlineLvl w:val="0"/>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outlineLvl w:val="1"/>
      </w:pPr>
      <w:r>
        <w:rPr>
          <w:rFonts w:ascii="黑体" w:hAnsi="黑体" w:eastAsia="黑体"/>
          <w:b/>
          <w:sz w:val="28"/>
        </w:rPr>
        <w:t>6.1 测试环境搭建</w:t>
      </w:r>
    </w:p>
    <w:p>
      <w:pPr>
        <w:spacing w:before="240" w:after="120"/>
        <w:outlineLvl w:val="2"/>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outlineLvl w:val="2"/>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outlineLvl w:val="2"/>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outlineLvl w:val="2"/>
      </w:pPr>
      <w:r>
        <w:rPr>
          <w:rFonts w:ascii="黑体" w:hAnsi="黑体" w:eastAsia="黑体"/>
          <w:b/>
          <w:sz w:val="24"/>
        </w:rPr>
        <w:t>6.1.4 主机侧单元测试</w:t>
      </w:r>
    </w:p>
    <w:p>
      <w:pPr>
        <w:ind w:firstLine="480"/>
      </w:pPr>
      <w:r>
        <w:rPr>
          <w:rFonts w:ascii="宋体" w:hAnsi="宋体" w:eastAsia="宋体"/>
          <w:sz w:val="24"/>
        </w:rPr>
        <w:t>协议解析、信号处理与报告生成三部分逻辑不依赖ESP-IDF（仅使用标准C库），因此可以在PC上直接编译运行，作为固件测试之外的补充验证手段。这样做的好处是：修改一行CRC或滤波代码无需烧录即可验证，且回归成本为零，可在每次提交前执行。</w:t>
      </w:r>
    </w:p>
    <w:p>
      <w:pPr>
        <w:ind w:firstLine="480"/>
      </w:pPr>
      <w:r>
        <w:rPr>
          <w:rFonts w:ascii="宋体" w:hAnsi="宋体" w:eastAsia="宋体"/>
          <w:sz w:val="24"/>
        </w:rPr>
        <w:t>测试代码位于工程host_tests/目录，通过bash host_tests/run.sh一键运行，共71项断言，分为三组：</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测试组</w:t>
            </w:r>
          </w:p>
        </w:tc>
        <w:tc>
          <w:tcPr>
            <w:tcW w:type="dxa" w:w="2882"/>
          </w:tcPr>
          <w:p>
            <w:pPr>
              <w:jc w:val="center"/>
            </w:pPr>
            <w:r>
              <w:rPr>
                <w:b/>
              </w:rPr>
            </w:r>
            <w:r>
              <w:rPr>
                <w:rFonts w:ascii="宋体" w:hAnsi="宋体" w:eastAsia="宋体"/>
                <w:b/>
                <w:sz w:val="20"/>
              </w:rPr>
              <w:t>断言数</w:t>
            </w:r>
          </w:p>
        </w:tc>
        <w:tc>
          <w:tcPr>
            <w:tcW w:type="dxa" w:w="2882"/>
          </w:tcPr>
          <w:p>
            <w:pPr>
              <w:jc w:val="center"/>
            </w:pPr>
            <w:r>
              <w:rPr>
                <w:b/>
              </w:rPr>
            </w:r>
            <w:r>
              <w:rPr>
                <w:rFonts w:ascii="宋体" w:hAnsi="宋体" w:eastAsia="宋体"/>
                <w:b/>
                <w:sz w:val="20"/>
              </w:rPr>
              <w:t>覆盖内容</w:t>
            </w:r>
          </w:p>
        </w:tc>
      </w:tr>
      <w:tr>
        <w:tc>
          <w:tcPr>
            <w:tcW w:type="dxa" w:w="2882"/>
          </w:tcPr>
          <w:p>
            <w:pPr>
              <w:jc w:val="center"/>
            </w:pPr>
            <w:r/>
            <w:r>
              <w:rPr>
                <w:rFonts w:ascii="宋体" w:hAnsi="宋体" w:eastAsia="宋体"/>
                <w:sz w:val="20"/>
              </w:rPr>
              <w:t>协议层</w:t>
            </w:r>
          </w:p>
        </w:tc>
        <w:tc>
          <w:tcPr>
            <w:tcW w:type="dxa" w:w="2882"/>
          </w:tcPr>
          <w:p>
            <w:pPr>
              <w:jc w:val="center"/>
            </w:pPr>
            <w:r/>
            <w:r>
              <w:rPr>
                <w:rFonts w:ascii="宋体" w:hAnsi="宋体" w:eastAsia="宋体"/>
                <w:sz w:val="20"/>
              </w:rPr>
              <w:t>31</w:t>
            </w:r>
          </w:p>
        </w:tc>
        <w:tc>
          <w:tcPr>
            <w:tcW w:type="dxa" w:w="2882"/>
          </w:tcPr>
          <w:p>
            <w:pPr>
              <w:jc w:val="center"/>
            </w:pPr>
            <w:r/>
            <w:r>
              <w:rPr>
                <w:rFonts w:ascii="宋体" w:hAnsi="宋体" w:eastAsia="宋体"/>
                <w:sz w:val="20"/>
              </w:rPr>
              <w:t>CRC16（查表法与逐位参考实现交叉验证、经典测试向量）、请求帧构建（含广播地址与缓冲区不足）、请求/响应/异常帧解析、CRC损坏识别、长度与空指针边界、T3.5静默时间</w:t>
            </w:r>
          </w:p>
        </w:tc>
      </w:tr>
      <w:tr>
        <w:tc>
          <w:tcPr>
            <w:tcW w:type="dxa" w:w="2882"/>
          </w:tcPr>
          <w:p>
            <w:pPr>
              <w:jc w:val="center"/>
            </w:pPr>
            <w:r/>
            <w:r>
              <w:rPr>
                <w:rFonts w:ascii="宋体" w:hAnsi="宋体" w:eastAsia="宋体"/>
                <w:sz w:val="20"/>
              </w:rPr>
              <w:t>波形信号处理</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滑动平均滤波（窗口为1/3/0、边界收缩）、峰峰值与直流分量、长度为零的边界、上升沿触发检测（含恰好等于阈值、仅下降沿等情形）</w:t>
            </w:r>
          </w:p>
        </w:tc>
      </w:tr>
      <w:tr>
        <w:tc>
          <w:tcPr>
            <w:tcW w:type="dxa" w:w="2882"/>
          </w:tcPr>
          <w:p>
            <w:pPr>
              <w:jc w:val="center"/>
            </w:pPr>
            <w:r/>
            <w:r>
              <w:rPr>
                <w:rFonts w:ascii="宋体" w:hAnsi="宋体" w:eastAsia="宋体"/>
                <w:sz w:val="20"/>
              </w:rPr>
              <w:t>诊断报告生成</w:t>
            </w:r>
          </w:p>
        </w:tc>
        <w:tc>
          <w:tcPr>
            <w:tcW w:type="dxa" w:w="2882"/>
          </w:tcPr>
          <w:p>
            <w:pPr>
              <w:jc w:val="center"/>
            </w:pPr>
            <w:r/>
            <w:r>
              <w:rPr>
                <w:rFonts w:ascii="宋体" w:hAnsi="宋体" w:eastAsia="宋体"/>
                <w:sz w:val="20"/>
              </w:rPr>
              <w:t>25</w:t>
            </w:r>
          </w:p>
        </w:tc>
        <w:tc>
          <w:tcPr>
            <w:tcW w:type="dxa" w:w="2882"/>
          </w:tcPr>
          <w:p>
            <w:pPr>
              <w:jc w:val="center"/>
            </w:pPr>
            <w:r/>
            <w:r>
              <w:rPr>
                <w:rFonts w:ascii="宋体" w:hAnsi="宋体" w:eastAsia="宋体"/>
                <w:sz w:val="20"/>
              </w:rPr>
              <w:t>JSON结构与字段取值、HTML四段式布局、异常码处置建议的触发条件、无数据时输出`No Data`而非满分、全部数值不出现`INT32_MAX`哨兵值</w:t>
            </w:r>
          </w:p>
        </w:tc>
      </w:tr>
    </w:tbl>
    <w:p/>
    <w:p>
      <w:pPr>
        <w:ind w:firstLine="480"/>
      </w:pPr>
      <w:r>
        <w:rPr>
          <w:rFonts w:ascii="宋体" w:hAnsi="宋体" w:eastAsia="宋体"/>
          <w:sz w:val="24"/>
        </w:rPr>
        <w:t>该组测试在开发过程中直接暴露了三类缺陷：响应帧被按请求帧解析导致数值错位、signal_measure_dc()在长度为零时整数除零（在ESP32上会触发panic）、以及无数据时将min_response_us的初值INT32_MAX直接写入报告。这些问题都不会导致编译失败，只会在界面上显示为"看起来正常"的错误数据，属于单元测试最适合拦截的一类。</w:t>
      </w:r>
    </w:p>
    <w:p>
      <w:pPr>
        <w:ind w:firstLine="480"/>
      </w:pPr>
      <w:r>
        <w:rPr>
          <w:rFonts w:ascii="宋体" w:hAnsi="宋体" w:eastAsia="宋体"/>
          <w:sz w:val="24"/>
        </w:rPr>
        <w:t>评分模型三个分项的取值曲线如图 6-1 所示，断点（响应 5ms/100ms、错误率 10%、 抖动 1ms/50ms）与 health_metrics.c 中的分段函数完全一致，并已由主机侧单元测试固定。</w:t>
      </w:r>
    </w:p>
    <w:p>
      <w:pPr>
        <w:spacing w:before="120" w:after="60"/>
        <w:jc w:val="center"/>
      </w:pPr>
      <w:r>
        <w:drawing>
          <wp:inline xmlns:a="http://schemas.openxmlformats.org/drawingml/2006/main" xmlns:pic="http://schemas.openxmlformats.org/drawingml/2006/picture">
            <wp:extent cx="5394960" cy="1978152"/>
            <wp:docPr id="5" name="Picture 5"/>
            <wp:cNvGraphicFramePr>
              <a:graphicFrameLocks noChangeAspect="1"/>
            </wp:cNvGraphicFramePr>
            <a:graphic>
              <a:graphicData uri="http://schemas.openxmlformats.org/drawingml/2006/picture">
                <pic:pic>
                  <pic:nvPicPr>
                    <pic:cNvPr id="0" name="fig_6_1_health_curve.png"/>
                    <pic:cNvPicPr/>
                  </pic:nvPicPr>
                  <pic:blipFill>
                    <a:blip r:embed="rId14"/>
                    <a:stretch>
                      <a:fillRect/>
                    </a:stretch>
                  </pic:blipFill>
                  <pic:spPr>
                    <a:xfrm>
                      <a:off x="0" y="0"/>
                      <a:ext cx="5394960" cy="1978152"/>
                    </a:xfrm>
                    <a:prstGeom prst="rect"/>
                  </pic:spPr>
                </pic:pic>
              </a:graphicData>
            </a:graphic>
          </wp:inline>
        </w:drawing>
      </w:r>
    </w:p>
    <w:p>
      <w:pPr>
        <w:spacing w:after="200"/>
        <w:jc w:val="center"/>
      </w:pPr>
      <w:r>
        <w:rPr>
          <w:rFonts w:ascii="宋体" w:hAnsi="宋体" w:eastAsia="宋体"/>
          <w:sz w:val="21"/>
        </w:rPr>
        <w:t>图 6-1  三维加权评分模型的分项曲线</w:t>
      </w:r>
    </w:p>
    <w:p>
      <w:pPr>
        <w:spacing w:before="240" w:after="120"/>
        <w:outlineLvl w:val="1"/>
      </w:pPr>
      <w:r>
        <w:rPr>
          <w:rFonts w:ascii="黑体" w:hAnsi="黑体" w:eastAsia="黑体"/>
          <w:b/>
          <w:sz w:val="28"/>
        </w:rPr>
        <w:t>6.2 Modbus RTU通信测试</w:t>
      </w:r>
    </w:p>
    <w:p>
      <w:pPr>
        <w:spacing w:before="240" w:after="120"/>
        <w:outlineLvl w:val="2"/>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outlineLvl w:val="2"/>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outlineLvl w:val="2"/>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outlineLvl w:val="1"/>
      </w:pPr>
      <w:r>
        <w:rPr>
          <w:rFonts w:ascii="黑体" w:hAnsi="黑体" w:eastAsia="黑体"/>
          <w:b/>
          <w:sz w:val="28"/>
        </w:rPr>
        <w:t>6.3 Modbus TCP通信测试</w:t>
      </w:r>
    </w:p>
    <w:p>
      <w:pPr>
        <w:spacing w:before="240" w:after="120"/>
        <w:outlineLvl w:val="2"/>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TCP通信测试旨在验证系统作为TCP客户端连接从站的能力及单连接下的稳定性。测试方法如下：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（3）测试内容分为两部分：一是单连接稳定性测试，连续发送1000次功能码03请求；二是TCP异常处理验证，覆盖从站断开、事务号不匹配的迟到响应、超时是否按配置值生效三种场景。</w:t>
      </w:r>
    </w:p>
    <w:p>
      <w:pPr>
        <w:spacing w:before="240" w:after="120"/>
        <w:outlineLvl w:val="2"/>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TCP异常处理验证结果如表6-4所示。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异常场景</w:t>
            </w:r>
          </w:p>
        </w:tc>
        <w:tc>
          <w:tcPr>
            <w:tcW w:type="dxa" w:w="2882"/>
          </w:tcPr>
          <w:p>
            <w:pPr>
              <w:jc w:val="center"/>
            </w:pPr>
            <w:r>
              <w:rPr>
                <w:b/>
              </w:rPr>
            </w:r>
            <w:r>
              <w:rPr>
                <w:rFonts w:ascii="宋体" w:hAnsi="宋体" w:eastAsia="宋体"/>
                <w:b/>
                <w:sz w:val="20"/>
              </w:rPr>
              <w:t>处理方式</w:t>
            </w:r>
          </w:p>
        </w:tc>
        <w:tc>
          <w:tcPr>
            <w:tcW w:type="dxa" w:w="2882"/>
          </w:tcPr>
          <w:p>
            <w:pPr>
              <w:jc w:val="center"/>
            </w:pPr>
            <w:r>
              <w:rPr>
                <w:b/>
              </w:rPr>
            </w:r>
            <w:r>
              <w:rPr>
                <w:rFonts w:ascii="宋体" w:hAnsi="宋体" w:eastAsia="宋体"/>
                <w:b/>
                <w:sz w:val="20"/>
              </w:rPr>
              <w:t>验证结果</w:t>
            </w:r>
          </w:p>
        </w:tc>
      </w:tr>
      <w:tr>
        <w:tc>
          <w:tcPr>
            <w:tcW w:type="dxa" w:w="2882"/>
          </w:tcPr>
          <w:p>
            <w:pPr>
              <w:jc w:val="center"/>
            </w:pPr>
            <w:r/>
            <w:r>
              <w:rPr>
                <w:rFonts w:ascii="宋体" w:hAnsi="宋体" w:eastAsia="宋体"/>
                <w:sz w:val="20"/>
              </w:rPr>
              <w:t>从站断开 / 对端关闭连接</w:t>
            </w:r>
          </w:p>
        </w:tc>
        <w:tc>
          <w:tcPr>
            <w:tcW w:type="dxa" w:w="2882"/>
          </w:tcPr>
          <w:p>
            <w:pPr>
              <w:jc w:val="center"/>
            </w:pPr>
            <w:r/>
            <w:r>
              <w:rPr>
                <w:rFonts w:ascii="宋体" w:hAnsi="宋体" w:eastAsia="宋体"/>
                <w:sz w:val="20"/>
              </w:rPr>
              <w:t>发送或接收失败时立即关闭 socket 并置为未连接状态，后续请求自动回退到 RS-485 通道</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事务号不匹配的迟到响应</w:t>
            </w:r>
          </w:p>
        </w:tc>
        <w:tc>
          <w:tcPr>
            <w:tcW w:type="dxa" w:w="2882"/>
          </w:tcPr>
          <w:p>
            <w:pPr>
              <w:jc w:val="center"/>
            </w:pPr>
            <w:r/>
            <w:r>
              <w:rPr>
                <w:rFonts w:ascii="宋体" w:hAnsi="宋体" w:eastAsia="宋体"/>
                <w:sz w:val="20"/>
              </w:rPr>
              <w:t>MBAP 头中的事务号与本次请求不一致时判为无效响应，不写入结果</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响应超时</w:t>
            </w:r>
          </w:p>
        </w:tc>
        <w:tc>
          <w:tcPr>
            <w:tcW w:type="dxa" w:w="2882"/>
          </w:tcPr>
          <w:p>
            <w:pPr>
              <w:jc w:val="center"/>
            </w:pPr>
            <w:r/>
            <w:r>
              <w:rPr>
                <w:rFonts w:ascii="宋体" w:hAnsi="宋体" w:eastAsia="宋体"/>
                <w:sz w:val="20"/>
              </w:rPr>
              <w:t>每次请求前按当前配置的 `timeout_ms` 重设 socket 收发超时，扫描时为50ms、单点读写为配置值</w:t>
            </w:r>
          </w:p>
        </w:tc>
        <w:tc>
          <w:tcPr>
            <w:tcW w:type="dxa" w:w="2882"/>
          </w:tcPr>
          <w:p>
            <w:pPr>
              <w:jc w:val="center"/>
            </w:pPr>
            <w:r/>
            <w:r>
              <w:rPr>
                <w:rFonts w:ascii="宋体" w:hAnsi="宋体" w:eastAsia="宋体"/>
                <w:sz w:val="20"/>
              </w:rPr>
              <w:t>通过</w:t>
            </w:r>
          </w:p>
        </w:tc>
      </w:tr>
    </w:tbl>
    <w:p/>
    <w:p>
      <w:pPr>
        <w:spacing w:before="240" w:after="120"/>
        <w:outlineLvl w:val="2"/>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（2）单连接架构的取舍：本工具的Modbus TCP客户端采用单连接设计——同一时刻只维护一个socket、面向一台目标从站。这是由使用场景决定的：便携式诊断工具在现场是"一个人、一根线、一台设备"的作业方式，不需要同时连接多台从站；单连接也让超时、重试与异常处理的语义保持简单可控，避免多连接下的事务号与响应归属混淆。若后续需要同时监视多台网络设备，需将socket改为连接池并引入按连接独立的事务号空间，属于结构性改动。</w:t>
      </w:r>
    </w:p>
    <w:p>
      <w:pPr>
        <w:ind w:firstLine="480"/>
      </w:pPr>
      <w:r>
        <w:rPr>
          <w:rFonts w:ascii="宋体" w:hAnsi="宋体" w:eastAsia="宋体"/>
          <w:sz w:val="24"/>
        </w:rPr>
        <w:t>（3）异常处理的意义：表6-4中的三项处理直接对应现场最常见的三类故障。断线后若不主动置为未连接，上层会持续向已关闭的socket发请求，且无法回退到串口；事务号不校验时，上一次超时请求的迟到响应会被当作本次结果，界面显示出"另一个请求的数据"——这种错误比超时更难排查，因为看起来一切正常。</w:t>
      </w:r>
    </w:p>
    <w:p>
      <w:pPr>
        <w:spacing w:before="240" w:after="120"/>
        <w:outlineLvl w:val="1"/>
      </w:pPr>
      <w:r>
        <w:rPr>
          <w:rFonts w:ascii="黑体" w:hAnsi="黑体" w:eastAsia="黑体"/>
          <w:b/>
          <w:sz w:val="28"/>
        </w:rPr>
        <w:t>6.4 设备扫描功能测试</w:t>
      </w:r>
    </w:p>
    <w:p>
      <w:pPr>
        <w:spacing w:before="240" w:after="120"/>
        <w:outlineLvl w:val="2"/>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扫描器提供两种模式：全档模式依次遍历9600、19200、38400、57600、115200五档波特率，适合不清楚设备参数的首次排查；快速模式只使用当前串口配置的波特率，适合已知设备参数时快速定位。单次请求超时取设置页的可配置值（50/100/200/500/1000ms 五档），本次测试按表中条件分别设为500ms与200ms；扫描期间不重试——247个地址若各重试一次，总耗时将直接翻倍。</w:t>
      </w:r>
    </w:p>
    <w:p>
      <w:pPr>
        <w:ind w:firstLine="480"/>
      </w:pPr>
      <w:r>
        <w:rPr>
          <w:rFonts w:ascii="宋体" w:hAnsi="宋体" w:eastAsia="宋体"/>
          <w:sz w:val="24"/>
        </w:rPr>
        <w:t>（3）记录扫描耗时、发现的设备数量及设备地址，与实际配置进行比对。</w:t>
      </w:r>
    </w:p>
    <w:p>
      <w:pPr>
        <w:spacing w:before="240" w:after="120"/>
        <w:outlineLvl w:val="2"/>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ind w:firstLine="480"/>
      </w:pPr>
      <w:r>
        <w:rPr>
          <w:rFonts w:ascii="宋体" w:hAnsi="宋体" w:eastAsia="宋体"/>
          <w:sz w:val="24"/>
        </w:rPr>
        <w:t>将表 6-5 的实测耗时绘成柱状图（图 6-2），可以直观看出扫描时间主要受"地址范围 × 单地址超时"支配，波特率的影响次之。</w:t>
      </w:r>
    </w:p>
    <w:p>
      <w:pPr>
        <w:spacing w:before="120" w:after="60"/>
        <w:jc w:val="center"/>
      </w:pPr>
      <w:r>
        <w:drawing>
          <wp:inline xmlns:a="http://schemas.openxmlformats.org/drawingml/2006/main" xmlns:pic="http://schemas.openxmlformats.org/drawingml/2006/picture">
            <wp:extent cx="5394960" cy="2564817"/>
            <wp:docPr id="6" name="Picture 6"/>
            <wp:cNvGraphicFramePr>
              <a:graphicFrameLocks noChangeAspect="1"/>
            </wp:cNvGraphicFramePr>
            <a:graphic>
              <a:graphicData uri="http://schemas.openxmlformats.org/drawingml/2006/picture">
                <pic:pic>
                  <pic:nvPicPr>
                    <pic:cNvPr id="0" name="fig_6_2_scan_time.png"/>
                    <pic:cNvPicPr/>
                  </pic:nvPicPr>
                  <pic:blipFill>
                    <a:blip r:embed="rId15"/>
                    <a:stretch>
                      <a:fillRect/>
                    </a:stretch>
                  </pic:blipFill>
                  <pic:spPr>
                    <a:xfrm>
                      <a:off x="0" y="0"/>
                      <a:ext cx="5394960" cy="2564817"/>
                    </a:xfrm>
                    <a:prstGeom prst="rect"/>
                  </pic:spPr>
                </pic:pic>
              </a:graphicData>
            </a:graphic>
          </wp:inline>
        </w:drawing>
      </w:r>
    </w:p>
    <w:p>
      <w:pPr>
        <w:spacing w:after="200"/>
        <w:jc w:val="center"/>
      </w:pPr>
      <w:r>
        <w:rPr>
          <w:rFonts w:ascii="宋体" w:hAnsi="宋体" w:eastAsia="宋体"/>
          <w:sz w:val="21"/>
        </w:rPr>
        <w:t>图 6-2  设备扫描耗时实测</w:t>
      </w:r>
    </w:p>
    <w:p>
      <w:pPr>
        <w:spacing w:before="240" w:after="120"/>
        <w:outlineLvl w:val="2"/>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outlineLvl w:val="1"/>
      </w:pPr>
      <w:r>
        <w:rPr>
          <w:rFonts w:ascii="黑体" w:hAnsi="黑体" w:eastAsia="黑体"/>
          <w:b/>
          <w:sz w:val="28"/>
        </w:rPr>
        <w:t>6.5 报文抓取功能测试</w:t>
      </w:r>
    </w:p>
    <w:p>
      <w:pPr>
        <w:spacing w:before="240" w:after="120"/>
        <w:outlineLvl w:val="2"/>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outlineLvl w:val="2"/>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outlineLvl w:val="2"/>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outlineLvl w:val="1"/>
      </w:pPr>
      <w:r>
        <w:rPr>
          <w:rFonts w:ascii="黑体" w:hAnsi="黑体" w:eastAsia="黑体"/>
          <w:b/>
          <w:sz w:val="28"/>
        </w:rPr>
        <w:t>6.6 波形采集功能测试</w:t>
      </w:r>
    </w:p>
    <w:p>
      <w:pPr>
        <w:spacing w:before="240" w:after="120"/>
        <w:outlineLvl w:val="2"/>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outlineLvl w:val="2"/>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outlineLvl w:val="2"/>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outlineLvl w:val="1"/>
      </w:pPr>
      <w:r>
        <w:rPr>
          <w:rFonts w:ascii="黑体" w:hAnsi="黑体" w:eastAsia="黑体"/>
          <w:b/>
          <w:sz w:val="28"/>
        </w:rPr>
        <w:t>6.7 诊断报告测试</w:t>
      </w:r>
    </w:p>
    <w:p>
      <w:pPr>
        <w:spacing w:before="240" w:after="120"/>
        <w:outlineLvl w:val="2"/>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outlineLvl w:val="2"/>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outlineLvl w:val="2"/>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outlineLvl w:val="1"/>
      </w:pPr>
      <w:r>
        <w:rPr>
          <w:rFonts w:ascii="黑体" w:hAnsi="黑体" w:eastAsia="黑体"/>
          <w:b/>
          <w:sz w:val="28"/>
        </w:rPr>
        <w:t>6.8 系统稳定性测试</w:t>
      </w:r>
    </w:p>
    <w:p>
      <w:pPr>
        <w:spacing w:before="240" w:after="120"/>
        <w:outlineLvl w:val="2"/>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outlineLvl w:val="2"/>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outlineLvl w:val="2"/>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r>
        <w:br w:type="page"/>
      </w:r>
    </w:p>
    <w:p>
      <w:pPr>
        <w:spacing w:before="240" w:after="120"/>
        <w:jc w:val="center"/>
        <w:outlineLvl w:val="0"/>
      </w:pPr>
      <w:r>
        <w:rPr>
          <w:rFonts w:ascii="黑体" w:hAnsi="黑体" w:eastAsia="黑体"/>
          <w:b/>
          <w:sz w:val="32"/>
        </w:rPr>
        <w:t>第7章 总结与展望</w:t>
      </w:r>
    </w:p>
    <w:p>
      <w:pPr>
        <w:spacing w:before="240" w:after="120"/>
        <w:outlineLvl w:val="1"/>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outlineLvl w:val="1"/>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outlineLvl w:val="1"/>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p>
      <w:r>
        <w:br w:type="page"/>
      </w:r>
    </w:p>
    <w:p>
      <w:pPr>
        <w:spacing w:before="240" w:after="120"/>
        <w:jc w:val="center"/>
        <w:outlineLvl w:val="0"/>
      </w:pPr>
      <w:r>
        <w:rPr>
          <w:rFonts w:ascii="黑体" w:hAnsi="黑体" w:eastAsia="黑体"/>
          <w:b/>
          <w:sz w:val="32"/>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r>
        <w:br w:type="page"/>
      </w:r>
    </w:p>
    <w:p>
      <w:pPr>
        <w:spacing w:before="240" w:after="120"/>
        <w:jc w:val="center"/>
        <w:outlineLvl w:val="0"/>
      </w:pPr>
      <w:r>
        <w:rPr>
          <w:rFonts w:ascii="黑体" w:hAnsi="黑体" w:eastAsia="黑体"/>
          <w:b/>
          <w:sz w:val="32"/>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21"/>
      </w:rPr>
      <w:t xml:space="preserve">— </w:t>
    </w:r>
    <w:r>
      <w:rPr>
        <w:rFonts w:ascii="宋体" w:hAnsi="宋体" w:eastAsia="宋体"/>
        <w:sz w:val="21"/>
      </w:rPr>
      <w:fldChar w:fldCharType="begin"/>
      <w:instrText xml:space="preserve">PAGE</w:instrText>
      <w:fldChar w:fldCharType="separate"/>
      <w:t>1</w:t>
      <w:fldChar w:fldCharType="end"/>
    </w:r>
    <w:r>
      <w:rPr>
        <w:rFonts w:ascii="宋体" w:hAnsi="宋体"/>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