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需要说明的是，表中所列是事件ID的定义，并非全部都会实际发布。事件队列只有32个槽位 （EVENT_QUEUE_SIZE），若把高频事件也塞进总线，会挤掉按键等低频但关键的事件。因此设计上做了取舍：</w:t>
      </w:r>
    </w:p>
    <w:p>
      <w:pPr>
        <w:ind w:left="567" w:firstLine="0"/>
      </w:pPr>
      <w:r>
        <w:rPr>
          <w:rFonts w:ascii="宋体" w:hAnsi="宋体" w:eastAsia="宋体"/>
          <w:sz w:val="24"/>
        </w:rPr>
        <w:t>• 实际发布的：按键（5 种）、扫描完成、WiFi 三种状态、页面进入/退出——都是低频事件；</w:t>
      </w:r>
    </w:p>
    <w:p>
      <w:pPr>
        <w:ind w:left="567" w:firstLine="0"/>
      </w:pPr>
      <w:r>
        <w:rPr>
          <w:rFonts w:ascii="宋体" w:hAnsi="宋体" w:eastAsia="宋体"/>
          <w:sz w:val="24"/>
        </w:rPr>
        <w:t>• 不发事件、改走回调：扫描进度与"发现设备"。全档扫描要遍历 247 个地址，逐地址发事件会瞬间填满队列，</w:t>
      </w:r>
    </w:p>
    <w:p>
      <w:pPr>
        <w:ind w:firstLine="480"/>
      </w:pPr>
      <w:r>
        <w:rPr>
          <w:rFonts w:ascii="宋体" w:hAnsi="宋体" w:eastAsia="宋体"/>
          <w:sz w:val="24"/>
        </w:rPr>
        <w:t>导致扫描期间按 BACK 取消失灵；进度只需"最新值"，由 on_progress 回调直接写入变量供 GUI 每帧读取即可；</w:t>
      </w:r>
    </w:p>
    <w:p>
      <w:pPr>
        <w:ind w:left="567" w:firstLine="0"/>
      </w:pPr>
      <w:r>
        <w:rPr>
          <w:rFonts w:ascii="宋体" w:hAnsi="宋体" w:eastAsia="宋体"/>
          <w:sz w:val="24"/>
        </w:rPr>
        <w:t>• 不发布：Modbus 收发/错误/超时事件。坏链路上每秒可产生数十次，同样会挤爆队列，</w:t>
      </w:r>
    </w:p>
    <w:p>
      <w:pPr>
        <w:ind w:firstLine="480"/>
      </w:pPr>
      <w:r>
        <w:rPr>
          <w:rFonts w:ascii="宋体" w:hAnsi="宋体" w:eastAsia="宋体"/>
          <w:sz w:val="24"/>
        </w:rPr>
        <w:t>这类统计统一由 health_metrics 与 traffic_stats 承担；</w:t>
      </w:r>
    </w:p>
    <w:p>
      <w:pPr>
        <w:ind w:left="567" w:firstLine="0"/>
      </w:pPr>
      <w:r>
        <w:rPr>
          <w:rFonts w:ascii="宋体" w:hAnsi="宋体" w:eastAsia="宋体"/>
          <w:sz w:val="24"/>
        </w:rPr>
        <w:t>• 预留未用：界面刷新、抓包帧事件，作为后续扩展点。</w:t>
      </w:r>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本版固件未启用触摸驱动，交互全部由4个物理按键完成：四键机身尺寸下，触摸命中区与列表行高（28像素）难以兼顾戴手套操作，按键反而更可靠；XPT2046的CS与IRQ已在硬件上引出（GPIO46/GPIO3），作为后续扩展预留。</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在独立任务中执行，而非在GUI任务里同步调用：全档扫描247个地址×5档波特率，在500ms超时下最坏可达数分钟，若同步执行，界面在此期间无法重绘、按键无响应，用户会误判为死机。改为独立任务后，GUI每帧读取进度变量刷新进度条（限帧10fps，避免整屏重绘占满SPI），用户可随时按BACK取消——取消标志在下一个地址前生效，扫描任务自行收尾并释放UART，避免两个任务同时操作总线。</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帧列表提供两种视图，长按OK切换：解析视图把每帧显示为「从站：功能码 地址/数量」的可读摘要，便于快速扫读；原始字节视图按十六进制逐字节显示（单行最多13字节，超出以“..”截断），用于比对点表、核对CRC字段或判断报文是否被截断。解不出结构的帧（短帧、CRC错）在原始视图下仍照常显示——现场最想看的恰恰是「这帧为什么不像正常报文」，藏起来等于掩盖线索。</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诊断报告本身由diag_report组件的报告生成器生成，内容包含设备信息、健康评分、响应时间统计、流量统计与诊断建议；此外还写入链路上下文（从站地址、波特率、帧格式如#7 19200 8E1）、固件版本、开机时长，以及最近12条操作日志作为事件记录——这样一份报告本身就是完整的现场快照，不必再让人回头去翻/log。日志文本在嵌入HTML前对&amp; &lt; &gt; "做了转义，避免把页面结构打乱；JSON版本则给出link/firmware/uptime_s字段与events_url指向/log，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ind w:firstLine="480"/>
      </w:pPr>
      <w:r>
        <w:rPr>
          <w:rFonts w:ascii="宋体" w:hAnsi="宋体" w:eastAsia="宋体"/>
          <w:sz w:val="24"/>
        </w:rPr>
        <w:t>设置页提供六项配置，其中前四项直接影响通信，均在修改时立即生效并写入 NVS：</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配置项</w:t>
            </w:r>
          </w:p>
        </w:tc>
        <w:tc>
          <w:tcPr>
            <w:tcW w:type="dxa" w:w="2882"/>
          </w:tcPr>
          <w:p>
            <w:pPr>
              <w:jc w:val="center"/>
            </w:pPr>
            <w:r>
              <w:rPr>
                <w:b/>
              </w:rPr>
            </w:r>
            <w:r>
              <w:rPr>
                <w:rFonts w:ascii="宋体" w:hAnsi="宋体" w:eastAsia="宋体"/>
                <w:b/>
                <w:sz w:val="20"/>
              </w:rPr>
              <w:t>取值</w:t>
            </w:r>
          </w:p>
        </w:tc>
        <w:tc>
          <w:tcPr>
            <w:tcW w:type="dxa" w:w="2882"/>
          </w:tcPr>
          <w:p>
            <w:pPr>
              <w:jc w:val="center"/>
            </w:pPr>
            <w:r>
              <w:rPr>
                <w:b/>
              </w:rPr>
            </w:r>
            <w:r>
              <w:rPr>
                <w:rFonts w:ascii="宋体" w:hAnsi="宋体" w:eastAsia="宋体"/>
                <w:b/>
                <w:sz w:val="20"/>
              </w:rPr>
              <w:t>NVS 键</w:t>
            </w:r>
          </w:p>
        </w:tc>
      </w:tr>
      <w:tr>
        <w:tc>
          <w:tcPr>
            <w:tcW w:type="dxa" w:w="2882"/>
          </w:tcPr>
          <w:p>
            <w:pPr>
              <w:jc w:val="center"/>
            </w:pPr>
            <w:r/>
            <w:r>
              <w:rPr>
                <w:rFonts w:ascii="宋体" w:hAnsi="宋体" w:eastAsia="宋体"/>
                <w:sz w:val="20"/>
              </w:rPr>
              <w:t>波特率</w:t>
            </w:r>
          </w:p>
        </w:tc>
        <w:tc>
          <w:tcPr>
            <w:tcW w:type="dxa" w:w="2882"/>
          </w:tcPr>
          <w:p>
            <w:pPr>
              <w:jc w:val="center"/>
            </w:pPr>
            <w:r/>
            <w:r>
              <w:rPr>
                <w:rFonts w:ascii="宋体" w:hAnsi="宋体" w:eastAsia="宋体"/>
                <w:sz w:val="20"/>
              </w:rPr>
              <w:t>1200 / 2400 / 4800 / 9600 / 19200 / 38400 / 57600 / 115200</w:t>
            </w:r>
          </w:p>
        </w:tc>
        <w:tc>
          <w:tcPr>
            <w:tcW w:type="dxa" w:w="2882"/>
          </w:tcPr>
          <w:p>
            <w:pPr>
              <w:jc w:val="center"/>
            </w:pPr>
            <w:r/>
            <w:r>
              <w:rPr>
                <w:rFonts w:ascii="宋体" w:hAnsi="宋体" w:eastAsia="宋体"/>
                <w:sz w:val="20"/>
              </w:rPr>
              <w:t>`baud`</w:t>
            </w:r>
          </w:p>
        </w:tc>
      </w:tr>
      <w:tr>
        <w:tc>
          <w:tcPr>
            <w:tcW w:type="dxa" w:w="2882"/>
          </w:tcPr>
          <w:p>
            <w:pPr>
              <w:jc w:val="center"/>
            </w:pPr>
            <w:r/>
            <w:r>
              <w:rPr>
                <w:rFonts w:ascii="宋体" w:hAnsi="宋体" w:eastAsia="宋体"/>
                <w:sz w:val="20"/>
              </w:rPr>
              <w:t>帧格式</w:t>
            </w:r>
          </w:p>
        </w:tc>
        <w:tc>
          <w:tcPr>
            <w:tcW w:type="dxa" w:w="2882"/>
          </w:tcPr>
          <w:p>
            <w:pPr>
              <w:jc w:val="center"/>
            </w:pPr>
            <w:r/>
            <w:r>
              <w:rPr>
                <w:rFonts w:ascii="宋体" w:hAnsi="宋体" w:eastAsia="宋体"/>
                <w:sz w:val="20"/>
              </w:rPr>
              <w:t>8N1 / 8E1 / 8O1 / 8N2</w:t>
            </w:r>
          </w:p>
        </w:tc>
        <w:tc>
          <w:tcPr>
            <w:tcW w:type="dxa" w:w="2882"/>
          </w:tcPr>
          <w:p>
            <w:pPr>
              <w:jc w:val="center"/>
            </w:pPr>
            <w:r/>
            <w:r>
              <w:rPr>
                <w:rFonts w:ascii="宋体" w:hAnsi="宋体" w:eastAsia="宋体"/>
                <w:sz w:val="20"/>
              </w:rPr>
              <w:t>`parity` + `stop_bits`</w:t>
            </w:r>
          </w:p>
        </w:tc>
      </w:tr>
      <w:tr>
        <w:tc>
          <w:tcPr>
            <w:tcW w:type="dxa" w:w="2882"/>
          </w:tcPr>
          <w:p>
            <w:pPr>
              <w:jc w:val="center"/>
            </w:pPr>
            <w:r/>
            <w:r>
              <w:rPr>
                <w:rFonts w:ascii="宋体" w:hAnsi="宋体" w:eastAsia="宋体"/>
                <w:sz w:val="20"/>
              </w:rPr>
              <w:t>单次超时</w:t>
            </w:r>
          </w:p>
        </w:tc>
        <w:tc>
          <w:tcPr>
            <w:tcW w:type="dxa" w:w="2882"/>
          </w:tcPr>
          <w:p>
            <w:pPr>
              <w:jc w:val="center"/>
            </w:pPr>
            <w:r/>
            <w:r>
              <w:rPr>
                <w:rFonts w:ascii="宋体" w:hAnsi="宋体" w:eastAsia="宋体"/>
                <w:sz w:val="20"/>
              </w:rPr>
              <w:t>50 / 100 / 200 / 500 / 1000 ms</w:t>
            </w:r>
          </w:p>
        </w:tc>
        <w:tc>
          <w:tcPr>
            <w:tcW w:type="dxa" w:w="2882"/>
          </w:tcPr>
          <w:p>
            <w:pPr>
              <w:jc w:val="center"/>
            </w:pPr>
            <w:r/>
            <w:r>
              <w:rPr>
                <w:rFonts w:ascii="宋体" w:hAnsi="宋体" w:eastAsia="宋体"/>
                <w:sz w:val="20"/>
              </w:rPr>
              <w:t>`timeout_ms`</w:t>
            </w:r>
          </w:p>
        </w:tc>
      </w:tr>
      <w:tr>
        <w:tc>
          <w:tcPr>
            <w:tcW w:type="dxa" w:w="2882"/>
          </w:tcPr>
          <w:p>
            <w:pPr>
              <w:jc w:val="center"/>
            </w:pPr>
            <w:r/>
            <w:r>
              <w:rPr>
                <w:rFonts w:ascii="宋体" w:hAnsi="宋体" w:eastAsia="宋体"/>
                <w:sz w:val="20"/>
              </w:rPr>
              <w:t>重试次数</w:t>
            </w:r>
          </w:p>
        </w:tc>
        <w:tc>
          <w:tcPr>
            <w:tcW w:type="dxa" w:w="2882"/>
          </w:tcPr>
          <w:p>
            <w:pPr>
              <w:jc w:val="center"/>
            </w:pPr>
            <w:r/>
            <w:r>
              <w:rPr>
                <w:rFonts w:ascii="宋体" w:hAnsi="宋体" w:eastAsia="宋体"/>
                <w:sz w:val="20"/>
              </w:rPr>
              <w:t>0 ~ 3</w:t>
            </w:r>
          </w:p>
        </w:tc>
        <w:tc>
          <w:tcPr>
            <w:tcW w:type="dxa" w:w="2882"/>
          </w:tcPr>
          <w:p>
            <w:pPr>
              <w:jc w:val="center"/>
            </w:pPr>
            <w:r/>
            <w:r>
              <w:rPr>
                <w:rFonts w:ascii="宋体" w:hAnsi="宋体" w:eastAsia="宋体"/>
                <w:sz w:val="20"/>
              </w:rPr>
              <w:t>`retry_count`</w:t>
            </w:r>
          </w:p>
        </w:tc>
      </w:tr>
    </w:tbl>
    <w:p/>
    <w:p>
      <w:pPr>
        <w:ind w:firstLine="480"/>
      </w:pPr>
      <w:r>
        <w:rPr>
          <w:rFonts w:ascii="宋体" w:hAnsi="宋体" w:eastAsia="宋体"/>
          <w:sz w:val="24"/>
        </w:rPr>
        <w:t>帧格式单独列出而非并入波特率，是因为工业现场的仪表现状：相当比例的设备工作在 8E1（偶校验）或 8O1，若工具只能固定 8N1，遇到这类设备连"扫描不到"都会误判成接线问题。数据位固定为 8——Modbus 规范对 RTU 的要求即为 8 位数据。</w:t>
      </w:r>
    </w:p>
    <w:p>
      <w:pPr>
        <w:ind w:firstLine="480"/>
      </w:pPr>
      <w:r>
        <w:rPr>
          <w:rFonts w:ascii="宋体" w:hAnsi="宋体" w:eastAsia="宋体"/>
          <w:sz w:val="24"/>
        </w:rPr>
        <w:t>后两项为只读信息：AP 名称（来自app_config.h，四键机身不做文本输入）与固件版本。</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