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pPr>
        <w:ind w:firstLine="480"/>
      </w:pPr>
      <w:r>
        <w:rPr>
          <w:rFonts w:ascii="宋体" w:hAnsi="宋体" w:eastAsia="宋体"/>
          <w:sz w:val="24"/>
        </w:rPr>
        <w:t>﻿# 基于ESP32-S3的Modbus通信诊断工具设计与实现</w:t>
      </w:r>
    </w:p>
    <w:p>
      <w:pPr>
        <w:spacing w:before="240" w:after="120"/>
      </w:pPr>
      <w:r>
        <w:rPr>
          <w:rFonts w:ascii="黑体" w:hAnsi="黑体" w:eastAsia="黑体"/>
          <w:b/>
          <w:sz w:val="28"/>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pPr>
        <w:spacing w:before="240" w:after="120"/>
      </w:pPr>
      <w:r>
        <w:rPr>
          <w:rFonts w:ascii="黑体" w:hAnsi="黑体" w:eastAsia="黑体"/>
          <w:b/>
          <w:sz w:val="28"/>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Modbus Organization. Modbus over Serial Line Specification and Implementation Guide V1.02[S]. 2006.</w:t>
      </w:r>
    </w:p>
    <w:p>
      <w:pPr>
        <w:ind w:firstLine="480"/>
      </w:pPr>
      <w:r>
        <w:rPr>
          <w:rFonts w:ascii="宋体" w:hAnsi="宋体" w:eastAsia="宋体"/>
          <w:sz w:val="24"/>
        </w:rPr>
        <w:t>[3] Modbus Organization. Modbus Messaging on TCP/IP Implementation Guide V1.0b[S]. 2006.</w:t>
      </w:r>
    </w:p>
    <w:p>
      <w:pPr>
        <w:ind w:firstLine="480"/>
      </w:pPr>
      <w:r>
        <w:rPr>
          <w:rFonts w:ascii="宋体" w:hAnsi="宋体" w:eastAsia="宋体"/>
          <w:sz w:val="24"/>
        </w:rPr>
        <w:t>[4] Espressif Systems. ESP32-S3 Technical Reference Manual[Z]. 2023.</w:t>
      </w:r>
    </w:p>
    <w:p>
      <w:pPr>
        <w:ind w:firstLine="480"/>
      </w:pPr>
      <w:r>
        <w:rPr>
          <w:rFonts w:ascii="宋体" w:hAnsi="宋体" w:eastAsia="宋体"/>
          <w:sz w:val="24"/>
        </w:rPr>
        <w:t>[5] Espressif Systems. ESP-IDF Programming Guide v5.x[Z]. 2024.</w:t>
      </w:r>
    </w:p>
    <w:p>
      <w:pPr>
        <w:ind w:firstLine="480"/>
      </w:pPr>
      <w:r>
        <w:rPr>
          <w:rFonts w:ascii="宋体" w:hAnsi="宋体" w:eastAsia="宋体"/>
          <w:sz w:val="24"/>
        </w:rPr>
        <w:t>[6] Richard Barry. Maserta FreeRTOS Real Time Kernel: A Hands-on Tutorial Guide[M]. Real Time Engineers Ltd, 2023.</w:t>
      </w:r>
    </w:p>
    <w:p>
      <w:pPr>
        <w:ind w:firstLine="480"/>
      </w:pPr>
      <w:r>
        <w:rPr>
          <w:rFonts w:ascii="宋体" w:hAnsi="宋体" w:eastAsia="宋体"/>
          <w:sz w:val="24"/>
        </w:rPr>
        <w:t>[7] 刘火良, 杨森. FreeRTOS内核实现与应用开发实战指南——基于STM32[M]. 北京: 机械工业出版社, 2019.</w:t>
      </w:r>
    </w:p>
    <w:p>
      <w:pPr>
        <w:ind w:firstLine="480"/>
      </w:pPr>
      <w:r>
        <w:rPr>
          <w:rFonts w:ascii="宋体" w:hAnsi="宋体" w:eastAsia="宋体"/>
          <w:sz w:val="24"/>
        </w:rPr>
        <w:t>[8] 谢希仁. 计算机网络(第8版)[M]. 北京: 电子工业出版社, 2021.</w:t>
      </w:r>
    </w:p>
    <w:p>
      <w:pPr>
        <w:ind w:firstLine="480"/>
      </w:pPr>
      <w:r>
        <w:rPr>
          <w:rFonts w:ascii="宋体" w:hAnsi="宋体" w:eastAsia="宋体"/>
          <w:sz w:val="24"/>
        </w:rPr>
        <w:t>[9] 张毅刚, 彭喜元, 姜守达. 单片机原理及应用(第3版)[M]. 北京: 高等教育出版社, 2020.</w:t>
      </w:r>
    </w:p>
    <w:p>
      <w:pPr>
        <w:ind w:firstLine="480"/>
      </w:pPr>
      <w:r>
        <w:rPr>
          <w:rFonts w:ascii="宋体" w:hAnsi="宋体" w:eastAsia="宋体"/>
          <w:sz w:val="24"/>
        </w:rPr>
        <w:t>[10] 邵贝贝. 嵌入式实时操作系统μC/OS-III(第2版)[M]. 北京: 北京航空航天大学出版社, 2018.</w:t>
      </w:r>
    </w:p>
    <w:p>
      <w:pPr>
        <w:ind w:firstLine="480"/>
      </w:pPr>
      <w:r>
        <w:rPr>
          <w:rFonts w:ascii="宋体" w:hAnsi="宋体" w:eastAsia="宋体"/>
          <w:sz w:val="24"/>
        </w:rPr>
        <w:t>[11] 马忠梅, 籍顺心, 张凯, 等. ARM &amp; Linux嵌入式系统教程(第4版)[M]. 北京: 北京航空航天大学出版社, 2017.</w:t>
      </w:r>
    </w:p>
    <w:p>
      <w:pPr>
        <w:ind w:firstLine="480"/>
      </w:pPr>
      <w:r>
        <w:rPr>
          <w:rFonts w:ascii="宋体" w:hAnsi="宋体" w:eastAsia="宋体"/>
          <w:sz w:val="24"/>
        </w:rPr>
        <w:t>[12] 朱华, 陈冬松. 基于Modbus协议的工业通信系统设计与实现[J]. 自动化与仪表, 2022, 37(5): 78-82.</w:t>
      </w:r>
    </w:p>
    <w:p>
      <w:pPr>
        <w:ind w:firstLine="480"/>
      </w:pPr>
      <w:r>
        <w:rPr>
          <w:rFonts w:ascii="宋体" w:hAnsi="宋体" w:eastAsia="宋体"/>
          <w:sz w:val="24"/>
        </w:rPr>
        <w:t>[13] 张伟, 王志远. 基于ESP32的工业物联网网关设计[J]. 电子技术应用, 2023, 49(3): 45-49.</w:t>
      </w:r>
    </w:p>
    <w:p>
      <w:pPr>
        <w:ind w:firstLine="480"/>
      </w:pPr>
      <w:r>
        <w:rPr>
          <w:rFonts w:ascii="宋体" w:hAnsi="宋体" w:eastAsia="宋体"/>
          <w:sz w:val="24"/>
        </w:rPr>
        <w:t>[14] 李明, 赵强. Modbus协议在工业SCADA系统中的应用研究[J]. 计算机工程与设计, 2022, 43(8): 2156-2162.</w:t>
      </w:r>
    </w:p>
    <w:p>
      <w:pPr>
        <w:ind w:firstLine="480"/>
      </w:pPr>
      <w:r>
        <w:rPr>
          <w:rFonts w:ascii="宋体" w:hAnsi="宋体" w:eastAsia="宋体"/>
          <w:sz w:val="24"/>
        </w:rPr>
        <w:t>[15] Chen Y, Wang H. Design of Industrial Communication Diagnostic Tool Based on ARM Cortex-M[J]. Journal of Physics: Conference Series, 2021, 1871(1): 012045.</w:t>
      </w:r>
    </w:p>
    <w:p>
      <w:pPr>
        <w:ind w:firstLine="480"/>
      </w:pPr>
      <w:r>
        <w:rPr>
          <w:rFonts w:ascii="宋体" w:hAnsi="宋体" w:eastAsia="宋体"/>
          <w:sz w:val="24"/>
        </w:rPr>
        <w:t>[16] Kumar S, Singh A. Embedded System Design for Modbus Protocol Analysis[J]. International Journal of Embedded Systems, 2022, 15(2): 123-132.</w:t>
      </w:r>
    </w:p>
    <w:p>
      <w:pPr>
        <w:ind w:firstLine="480"/>
      </w:pPr>
      <w:r>
        <w:rPr>
          <w:rFonts w:ascii="宋体" w:hAnsi="宋体" w:eastAsia="宋体"/>
          <w:sz w:val="24"/>
        </w:rPr>
        <w:t>[17] 周立功. ARM嵌入式系统基础教程(第3版)[M]. 北京: 北京航空航天大学出版社, 2019.</w:t>
      </w:r>
    </w:p>
    <w:p>
      <w:pPr>
        <w:ind w:firstLine="480"/>
      </w:pPr>
      <w:r>
        <w:rPr>
          <w:rFonts w:ascii="宋体" w:hAnsi="宋体" w:eastAsia="宋体"/>
          <w:sz w:val="24"/>
        </w:rPr>
        <w:t>[18] 王田苗, 魏洪兴. 嵌入式系统设计与应用——基于ARM Cortex-M4[M]. 北京: 清华大学出版社, 2021.</w:t>
      </w:r>
    </w:p>
    <w:p>
      <w:pPr>
        <w:ind w:firstLine="480"/>
      </w:pPr>
      <w:r>
        <w:rPr>
          <w:rFonts w:ascii="宋体" w:hAnsi="宋体" w:eastAsia="宋体"/>
          <w:sz w:val="24"/>
        </w:rPr>
        <w:t>[19] Espressif Systems. ESP32-S3 Datasheet[Z]. 2023.</w:t>
      </w:r>
    </w:p>
    <w:p>
      <w:pPr>
        <w:ind w:firstLine="480"/>
      </w:pPr>
      <w:r>
        <w:rPr>
          <w:rFonts w:ascii="宋体" w:hAnsi="宋体" w:eastAsia="宋体"/>
          <w:sz w:val="24"/>
        </w:rPr>
        <w:t>[20] ILI Technology Corporation. ILI9341 Datasheet[Z]. 2015.</w:t>
      </w:r>
    </w:p>
    <w:p>
      <w:pPr>
        <w:spacing w:before="240" w:after="120"/>
      </w:pPr>
      <w:r>
        <w:rPr>
          <w:rFonts w:ascii="黑体" w:hAnsi="黑体" w:eastAsia="黑体"/>
          <w:b/>
          <w:sz w:val="28"/>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p>
      <w:pPr>
        <w:spacing w:before="240" w:after="120"/>
        <w:jc w:val="center"/>
      </w:pPr>
      <w:r>
        <w:rPr>
          <w:rFonts w:ascii="黑体" w:hAnsi="黑体" w:eastAsia="黑体"/>
          <w:b/>
          <w:sz w:val="32"/>
        </w:rPr>
        <w:t>第1章 绪论</w:t>
      </w:r>
    </w:p>
    <w:p>
      <w:pPr>
        <w:spacing w:before="240" w:after="120"/>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pPr>
        <w:spacing w:before="240" w:after="120"/>
        <w:jc w:val="center"/>
      </w:pPr>
      <w:r>
        <w:rPr>
          <w:rFonts w:ascii="黑体" w:hAnsi="黑体" w:eastAsia="黑体"/>
          <w:b/>
          <w:sz w:val="32"/>
        </w:rPr>
        <w:t>第2章 相关技术基础</w:t>
      </w:r>
    </w:p>
    <w:p>
      <w:pPr>
        <w:spacing w:before="240" w:after="120"/>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pPr>
        <w:spacing w:before="240" w:after="120"/>
        <w:jc w:val="center"/>
      </w:pPr>
      <w:r>
        <w:rPr>
          <w:rFonts w:ascii="黑体" w:hAnsi="黑体" w:eastAsia="黑体"/>
          <w:b/>
          <w:sz w:val="32"/>
        </w:rPr>
        <w:t>第3章 系统需求分析与总体设计</w:t>
      </w:r>
    </w:p>
    <w:p>
      <w:pPr>
        <w:spacing w:before="240" w:after="120"/>
      </w:pPr>
      <w:r>
        <w:rPr>
          <w:rFonts w:ascii="黑体" w:hAnsi="黑体" w:eastAsia="黑体"/>
          <w:b/>
          <w:sz w:val="28"/>
        </w:rPr>
        <w:t>3.1 系统需求分析</w:t>
      </w:r>
    </w:p>
    <w:p>
      <w:pPr>
        <w:spacing w:before="240" w:after="120"/>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AP模式创建无线接入点，并运行Web服务器，提供远程诊断界面。用户可通过浏览器访问系统功能，包括查看实时数据、浏览报文日志、下载诊断报告等。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pPr>
      <w:r>
        <w:rPr>
          <w:rFonts w:ascii="黑体" w:hAnsi="黑体" w:eastAsia="黑体"/>
          <w:b/>
          <w:sz w:val="28"/>
        </w:rPr>
        <w:t>3.2 系统总体架构</w:t>
      </w:r>
    </w:p>
    <w:p>
      <w:pPr>
        <w:spacing w:before="240" w:after="120"/>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pPr>
      <w:r>
        <w:rPr>
          <w:rFonts w:ascii="黑体" w:hAnsi="黑体" w:eastAsia="黑体"/>
          <w:b/>
          <w:sz w:val="28"/>
        </w:rPr>
        <w:t>3.3 组件化设计</w:t>
      </w:r>
    </w:p>
    <w:p>
      <w:pPr>
        <w:spacing w:before="240" w:after="120"/>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采样值写入1024点环形缓冲区，单帧对应约10ms的波形。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Web服务器。Web服务器当前提供两个HTTP GET接口：根路径"/"返回工具首页与接口索引，路径"/report"以JSON格式返回SPIFFS中保存的最新诊断报告，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pPr>
        <w:spacing w:before="240" w:after="120"/>
      </w:pPr>
      <w:r>
        <w:rPr>
          <w:rFonts w:ascii="黑体" w:hAnsi="黑体" w:eastAsia="黑体"/>
          <w:b/>
          <w:sz w:val="28"/>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pPr>
        <w:spacing w:before="240" w:after="120"/>
        <w:jc w:val="center"/>
      </w:pPr>
      <w:r>
        <w:rPr>
          <w:rFonts w:ascii="黑体" w:hAnsi="黑体" w:eastAsia="黑体"/>
          <w:b/>
          <w:sz w:val="32"/>
        </w:rPr>
        <w:t>第4章 硬件设计</w:t>
      </w:r>
    </w:p>
    <w:p>
      <w:pPr>
        <w:spacing w:before="240" w:after="120"/>
      </w:pPr>
      <w:r>
        <w:rPr>
          <w:rFonts w:ascii="黑体" w:hAnsi="黑体" w:eastAsia="黑体"/>
          <w:b/>
          <w:sz w:val="28"/>
        </w:rPr>
        <w:t>4.1 系统硬件总体方案</w:t>
      </w:r>
    </w:p>
    <w:p>
      <w:pPr>
        <w:spacing w:before="240" w:after="120"/>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spacing w:before="240" w:after="120"/>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pPr>
      <w:r>
        <w:rPr>
          <w:rFonts w:ascii="黑体" w:hAnsi="黑体" w:eastAsia="黑体"/>
          <w:b/>
          <w:sz w:val="28"/>
        </w:rPr>
        <w:t>4.2 ESP32-S3最小系统</w:t>
      </w:r>
    </w:p>
    <w:p>
      <w:pPr>
        <w:spacing w:before="240" w:after="120"/>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pPr>
      <w:r>
        <w:rPr>
          <w:rFonts w:ascii="黑体" w:hAnsi="黑体" w:eastAsia="黑体"/>
          <w:b/>
          <w:sz w:val="28"/>
        </w:rPr>
        <w:t>4.3 RS-485通信电路</w:t>
      </w:r>
    </w:p>
    <w:p>
      <w:pPr>
        <w:spacing w:before="240" w:after="120"/>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spacing w:before="240" w:after="120"/>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pPr>
      <w:r>
        <w:rPr>
          <w:rFonts w:ascii="黑体" w:hAnsi="黑体" w:eastAsia="黑体"/>
          <w:b/>
          <w:sz w:val="28"/>
        </w:rPr>
        <w:t>4.4 TFT显示电路</w:t>
      </w:r>
    </w:p>
    <w:p>
      <w:pPr>
        <w:spacing w:before="240" w:after="120"/>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pPr>
      <w:r>
        <w:rPr>
          <w:rFonts w:ascii="黑体" w:hAnsi="黑体" w:eastAsia="黑体"/>
          <w:b/>
          <w:sz w:val="28"/>
        </w:rPr>
        <w:t>4.6 ADC采集电路</w:t>
      </w:r>
    </w:p>
    <w:p>
      <w:pPr>
        <w:spacing w:before="240" w:after="120"/>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pPr>
      <w:r>
        <w:rPr>
          <w:rFonts w:ascii="黑体" w:hAnsi="黑体" w:eastAsia="黑体"/>
          <w:b/>
          <w:sz w:val="28"/>
        </w:rPr>
        <w:t>4.7 PCB设计要点</w:t>
      </w:r>
    </w:p>
    <w:p>
      <w:pPr>
        <w:spacing w:before="240" w:after="120"/>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pPr>
        <w:spacing w:before="240" w:after="120"/>
        <w:jc w:val="center"/>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pPr>
      <w:r>
        <w:rPr>
          <w:rFonts w:ascii="黑体" w:hAnsi="黑体" w:eastAsia="黑体"/>
          <w:b/>
          <w:sz w:val="28"/>
        </w:rPr>
        <w:t>5.1 软件总体框架</w:t>
      </w:r>
    </w:p>
    <w:p>
      <w:pPr>
        <w:spacing w:before="240" w:after="120"/>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spacing w:before="240" w:after="120"/>
      </w:pPr>
      <w:r>
        <w:rPr>
          <w:rFonts w:ascii="黑体" w:hAnsi="黑体" w:eastAsia="黑体"/>
          <w:b/>
          <w:sz w:val="28"/>
        </w:rPr>
        <w:t>5.2 Modbus协议栈实现</w:t>
      </w:r>
    </w:p>
    <w:p>
      <w:pPr>
        <w:spacing w:before="240" w:after="120"/>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设置2秒的收发超时，通过connect函数建立到目标服务器的连接。发送和接收通过send和recv函数完成，响应时间通过gettimeofday在发送前和接收后分别记录时间戳并计算差值获得。</w:t>
      </w:r>
    </w:p>
    <w:p>
      <w:pPr>
        <w:spacing w:before="240" w:after="120"/>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w:t>
      </w:r>
    </w:p>
    <w:p>
      <w:pPr>
        <w:spacing w:before="240" w:after="120"/>
      </w:pPr>
      <w:r>
        <w:rPr>
          <w:rFonts w:ascii="黑体" w:hAnsi="黑体" w:eastAsia="黑体"/>
          <w:b/>
          <w:sz w:val="28"/>
        </w:rPr>
        <w:t>5.3 设备扫描与寄存器分类</w:t>
      </w:r>
    </w:p>
    <w:p>
      <w:pPr>
        <w:spacing w:before="240" w:after="120"/>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过程支持多种波特率并行测试，以适应不同设备可能使用不同通信参数的实际情况。系统预定义了常用的波特率数组：1200、2400、4800、9600、19200、38400、57600和115200。</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pPr>
      <w:r>
        <w:rPr>
          <w:rFonts w:ascii="黑体" w:hAnsi="黑体" w:eastAsia="黑体"/>
          <w:b/>
          <w:sz w:val="28"/>
        </w:rPr>
        <w:t>5.4 报文抓取与流量统计</w:t>
      </w:r>
    </w:p>
    <w:p>
      <w:pPr>
        <w:spacing w:before="240" w:after="120"/>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pPr>
      <w:r>
        <w:rPr>
          <w:rFonts w:ascii="黑体" w:hAnsi="黑体" w:eastAsia="黑体"/>
          <w:b/>
          <w:sz w:val="28"/>
        </w:rPr>
        <w:t>5.5 波形采集与信号处理</w:t>
      </w:r>
    </w:p>
    <w:p>
      <w:pPr>
        <w:spacing w:before="240" w:after="120"/>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pPr>
      <w:r>
        <w:rPr>
          <w:rFonts w:ascii="黑体" w:hAnsi="黑体" w:eastAsia="黑体"/>
          <w:b/>
          <w:sz w:val="24"/>
        </w:rPr>
        <w:t>5.5.4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pPr>
      <w:r>
        <w:rPr>
          <w:rFonts w:ascii="黑体" w:hAnsi="黑体" w:eastAsia="黑体"/>
          <w:b/>
          <w:sz w:val="28"/>
        </w:rPr>
        <w:t>5.6 诊断健康评分模型</w:t>
      </w:r>
    </w:p>
    <w:p>
      <w:pPr>
        <w:spacing w:before="240" w:after="120"/>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pPr>
      <w:r>
        <w:rPr>
          <w:rFonts w:ascii="黑体" w:hAnsi="黑体" w:eastAsia="黑体"/>
          <w:b/>
          <w:sz w:val="28"/>
        </w:rPr>
        <w:t>5.7 GUI框架与页面管理</w:t>
      </w:r>
    </w:p>
    <w:p>
      <w:pPr>
        <w:spacing w:before="240" w:after="120"/>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spacing w:before="240" w:after="120"/>
      </w:pPr>
      <w:r>
        <w:rPr>
          <w:rFonts w:ascii="黑体" w:hAnsi="黑体" w:eastAsia="黑体"/>
          <w:b/>
          <w:sz w:val="28"/>
        </w:rPr>
        <w:t>5.8 WiFi服务与Web服务器</w:t>
      </w:r>
    </w:p>
    <w:p>
      <w:pPr>
        <w:spacing w:before="240" w:after="120"/>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除AP模式外，系统还支持STA（Station）模式，可通过设置页面配置目标路由器的SSID和密码，连接到现有WiFi网络。STA模式适用于需要将诊断数据上传到远程服务器的场景。</w:t>
      </w:r>
    </w:p>
    <w:p>
      <w:pPr>
        <w:spacing w:before="240" w:after="120"/>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Web服务器基于ESP-IDF的esp_http_server组件实现，监听80端口。服务器注册了两个HTTP GET接口：</w:t>
      </w:r>
    </w:p>
    <w:p>
      <w:pPr>
        <w:ind w:left="567" w:firstLine="0"/>
      </w:pPr>
      <w:r>
        <w:rPr>
          <w:rFonts w:ascii="宋体" w:hAnsi="宋体" w:eastAsia="宋体"/>
          <w:sz w:val="24"/>
        </w:rPr>
        <w:t>• GET /：返回工具首页的静态HTML页面，页面中给出可用接口的索引及指向/report的链接。</w:t>
      </w:r>
    </w:p>
    <w:p>
      <w:pPr>
        <w:ind w:left="567" w:firstLine="0"/>
      </w:pPr>
      <w:r>
        <w:rPr>
          <w:rFonts w:ascii="宋体" w:hAnsi="宋体" w:eastAsia="宋体"/>
          <w:sz w:val="24"/>
        </w:rPr>
        <w:t>• GET /report：以application/json类型返回SPIFFS中保存的最新诊断报告文件/spiffs/report.json。由于报告文件体积可能较大，响应采用HTTP分块传输（chunked transfer encoding）逐块发送，避免一次性申请大块堆内存；当SPIFFS中尚无报告文件时，接口返回404错误。</w:t>
      </w:r>
    </w:p>
    <w:p>
      <w:pPr>
        <w:ind w:firstLine="480"/>
      </w:pPr>
      <w:r>
        <w:rPr>
          <w:rFonts w:ascii="宋体" w:hAnsi="宋体" w:eastAsia="宋体"/>
          <w:sz w:val="24"/>
        </w:rPr>
        <w:t>诊断报告本身由diag_report组件的报告生成器生成，内容包含设备信息、健康评分、响应时间统计与流量统计等，并以内嵌CSS的HTML形式呈现（深色主题，背景色#1a1a2e，关键数据以亮色高亮，评分随等级动态变色），生成后写入SPIFFS供Web接口读取，因此无需依赖外部资源即可在浏览器中直接查看。</w:t>
      </w:r>
    </w:p>
    <w:p>
      <w:pPr>
        <w:spacing w:before="240" w:after="120"/>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pPr>
      <w:r>
        <w:rPr>
          <w:rFonts w:ascii="黑体" w:hAnsi="黑体" w:eastAsia="黑体"/>
          <w:b/>
          <w:sz w:val="28"/>
        </w:rPr>
        <w:t>5.9 存储管理</w:t>
      </w:r>
    </w:p>
    <w:p>
      <w:pPr>
        <w:spacing w:before="240" w:after="120"/>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操作日志记录了设备扫描结果、通信异常、配置变更等关键事件。每条日志包含时间戳和事件描述，格式如"2024-01-15 14:30:22 Scan found 5 devices at 9600bps"。</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pPr>
        <w:spacing w:before="240" w:after="120"/>
        <w:jc w:val="center"/>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pPr>
      <w:r>
        <w:rPr>
          <w:rFonts w:ascii="黑体" w:hAnsi="黑体" w:eastAsia="黑体"/>
          <w:b/>
          <w:sz w:val="28"/>
        </w:rPr>
        <w:t>6.1 测试环境搭建</w:t>
      </w:r>
    </w:p>
    <w:p>
      <w:pPr>
        <w:spacing w:before="240" w:after="120"/>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pPr>
      <w:r>
        <w:rPr>
          <w:rFonts w:ascii="黑体" w:hAnsi="黑体" w:eastAsia="黑体"/>
          <w:b/>
          <w:sz w:val="28"/>
        </w:rPr>
        <w:t>6.2 Modbus RTU通信测试</w:t>
      </w:r>
    </w:p>
    <w:p>
      <w:pPr>
        <w:spacing w:before="240" w:after="120"/>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pPr>
      <w:r>
        <w:rPr>
          <w:rFonts w:ascii="黑体" w:hAnsi="黑体" w:eastAsia="黑体"/>
          <w:b/>
          <w:sz w:val="28"/>
        </w:rPr>
        <w:t>6.3 Modbus TCP通信测试</w:t>
      </w:r>
    </w:p>
    <w:p>
      <w:pPr>
        <w:spacing w:before="240" w:after="120"/>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TCP通信测试旨在验证系统作为TCP客户端连接从站的能力及并发处理性能。测试方法如下：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（3）测试内容分为两部分：一是单连接稳定性测试，连续发送1000次功能码03请求；二是并发连接测试，分别测试1、2、3个并发TCP连接下的通信性能。</w:t>
      </w:r>
    </w:p>
    <w:p>
      <w:pPr>
        <w:spacing w:before="240" w:after="120"/>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并发连接测试结果如表6-4所示。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并发连接数</w:t>
            </w:r>
          </w:p>
        </w:tc>
        <w:tc>
          <w:tcPr>
            <w:tcW w:type="dxa" w:w="1441"/>
          </w:tcPr>
          <w:p>
            <w:pPr>
              <w:jc w:val="center"/>
            </w:pPr>
            <w:r>
              <w:rPr>
                <w:b/>
              </w:rPr>
            </w:r>
            <w:r>
              <w:rPr>
                <w:rFonts w:ascii="宋体" w:hAnsi="宋体" w:eastAsia="宋体"/>
                <w:b/>
                <w:sz w:val="20"/>
              </w:rPr>
              <w:t>请求总次数</w:t>
            </w:r>
          </w:p>
        </w:tc>
        <w:tc>
          <w:tcPr>
            <w:tcW w:type="dxa" w:w="1441"/>
          </w:tcPr>
          <w:p>
            <w:pPr>
              <w:jc w:val="center"/>
            </w:pPr>
            <w:r>
              <w:rPr>
                <w:b/>
              </w:rPr>
            </w:r>
            <w:r>
              <w:rPr>
                <w:rFonts w:ascii="宋体" w:hAnsi="宋体" w:eastAsia="宋体"/>
                <w:b/>
                <w:sz w:val="20"/>
              </w:rPr>
              <w:t>成功次数</w:t>
            </w:r>
          </w:p>
        </w:tc>
        <w:tc>
          <w:tcPr>
            <w:tcW w:type="dxa" w:w="1441"/>
          </w:tcPr>
          <w:p>
            <w:pPr>
              <w:jc w:val="center"/>
            </w:pPr>
            <w:r>
              <w:rPr>
                <w:b/>
              </w:rPr>
            </w:r>
            <w:r>
              <w:rPr>
                <w:rFonts w:ascii="宋体" w:hAnsi="宋体" w:eastAsia="宋体"/>
                <w:b/>
                <w:sz w:val="20"/>
              </w:rPr>
              <w:t>成功率(%)</w:t>
            </w:r>
          </w:p>
        </w:tc>
        <w:tc>
          <w:tcPr>
            <w:tcW w:type="dxa" w:w="1441"/>
          </w:tcPr>
          <w:p>
            <w:pPr>
              <w:jc w:val="center"/>
            </w:pPr>
            <w:r>
              <w:rPr>
                <w:b/>
              </w:rPr>
            </w:r>
            <w:r>
              <w:rPr>
                <w:rFonts w:ascii="宋体" w:hAnsi="宋体" w:eastAsia="宋体"/>
                <w:b/>
                <w:sz w:val="20"/>
              </w:rPr>
              <w:t>平均响应时间(ms)</w:t>
            </w:r>
          </w:p>
        </w:tc>
        <w:tc>
          <w:tcPr>
            <w:tcW w:type="dxa" w:w="1441"/>
          </w:tcPr>
          <w:p>
            <w:pPr>
              <w:jc w:val="center"/>
            </w:pPr>
            <w:r>
              <w:rPr>
                <w:b/>
              </w:rPr>
            </w:r>
            <w:r>
              <w:rPr>
                <w:rFonts w:ascii="宋体" w:hAnsi="宋体" w:eastAsia="宋体"/>
                <w:b/>
                <w:sz w:val="20"/>
              </w:rPr>
              <w:t>CPU占用率(%)</w:t>
            </w:r>
          </w:p>
        </w:tc>
      </w:tr>
      <w:tr>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8.6</w:t>
            </w:r>
          </w:p>
        </w:tc>
        <w:tc>
          <w:tcPr>
            <w:tcW w:type="dxa" w:w="1441"/>
          </w:tcPr>
          <w:p>
            <w:pPr>
              <w:jc w:val="center"/>
            </w:pPr>
            <w:r/>
            <w:r>
              <w:rPr>
                <w:rFonts w:ascii="宋体" w:hAnsi="宋体" w:eastAsia="宋体"/>
                <w:sz w:val="20"/>
              </w:rPr>
              <w:t>12</w:t>
            </w:r>
          </w:p>
        </w:tc>
      </w:tr>
      <w:tr>
        <w:tc>
          <w:tcPr>
            <w:tcW w:type="dxa" w:w="1441"/>
          </w:tcPr>
          <w:p>
            <w:pPr>
              <w:jc w:val="center"/>
            </w:pPr>
            <w:r/>
            <w:r>
              <w:rPr>
                <w:rFonts w:ascii="宋体" w:hAnsi="宋体" w:eastAsia="宋体"/>
                <w:sz w:val="20"/>
              </w:rPr>
              <w:t>2</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497</w:t>
            </w:r>
          </w:p>
        </w:tc>
        <w:tc>
          <w:tcPr>
            <w:tcW w:type="dxa" w:w="1441"/>
          </w:tcPr>
          <w:p>
            <w:pPr>
              <w:jc w:val="center"/>
            </w:pPr>
            <w:r/>
            <w:r>
              <w:rPr>
                <w:rFonts w:ascii="宋体" w:hAnsi="宋体" w:eastAsia="宋体"/>
                <w:sz w:val="20"/>
              </w:rPr>
              <w:t>99.4</w:t>
            </w:r>
          </w:p>
        </w:tc>
        <w:tc>
          <w:tcPr>
            <w:tcW w:type="dxa" w:w="1441"/>
          </w:tcPr>
          <w:p>
            <w:pPr>
              <w:jc w:val="center"/>
            </w:pPr>
            <w:r/>
            <w:r>
              <w:rPr>
                <w:rFonts w:ascii="宋体" w:hAnsi="宋体" w:eastAsia="宋体"/>
                <w:sz w:val="20"/>
              </w:rPr>
              <w:t>14.3</w:t>
            </w:r>
          </w:p>
        </w:tc>
        <w:tc>
          <w:tcPr>
            <w:tcW w:type="dxa" w:w="1441"/>
          </w:tcPr>
          <w:p>
            <w:pPr>
              <w:jc w:val="center"/>
            </w:pPr>
            <w:r/>
            <w:r>
              <w:rPr>
                <w:rFonts w:ascii="宋体" w:hAnsi="宋体" w:eastAsia="宋体"/>
                <w:sz w:val="20"/>
              </w:rPr>
              <w:t>28</w:t>
            </w:r>
          </w:p>
        </w:tc>
      </w:tr>
      <w:tr>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491</w:t>
            </w:r>
          </w:p>
        </w:tc>
        <w:tc>
          <w:tcPr>
            <w:tcW w:type="dxa" w:w="1441"/>
          </w:tcPr>
          <w:p>
            <w:pPr>
              <w:jc w:val="center"/>
            </w:pPr>
            <w:r/>
            <w:r>
              <w:rPr>
                <w:rFonts w:ascii="宋体" w:hAnsi="宋体" w:eastAsia="宋体"/>
                <w:sz w:val="20"/>
              </w:rPr>
              <w:t>98.2</w:t>
            </w:r>
          </w:p>
        </w:tc>
        <w:tc>
          <w:tcPr>
            <w:tcW w:type="dxa" w:w="1441"/>
          </w:tcPr>
          <w:p>
            <w:pPr>
              <w:jc w:val="center"/>
            </w:pPr>
            <w:r/>
            <w:r>
              <w:rPr>
                <w:rFonts w:ascii="宋体" w:hAnsi="宋体" w:eastAsia="宋体"/>
                <w:sz w:val="20"/>
              </w:rPr>
              <w:t>21.7</w:t>
            </w:r>
          </w:p>
        </w:tc>
        <w:tc>
          <w:tcPr>
            <w:tcW w:type="dxa" w:w="1441"/>
          </w:tcPr>
          <w:p>
            <w:pPr>
              <w:jc w:val="center"/>
            </w:pPr>
            <w:r/>
            <w:r>
              <w:rPr>
                <w:rFonts w:ascii="宋体" w:hAnsi="宋体" w:eastAsia="宋体"/>
                <w:sz w:val="20"/>
              </w:rPr>
              <w:t>45</w:t>
            </w:r>
          </w:p>
        </w:tc>
      </w:tr>
    </w:tbl>
    <w:p/>
    <w:p>
      <w:pPr>
        <w:spacing w:before="240" w:after="120"/>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并发性能：随着并发连接数增加，平均响应时间近似线性增长，这符合单线程事件循环架构的特点。3并发时CPU占用率达45%，已接近合理使用上限。测试中出现的少量失败（3并发9次）主要发生在连接切换瞬间，系TCP socket关闭与重建的时间窗口内产生的超时所致。</w:t>
      </w:r>
    </w:p>
    <w:p>
      <w:pPr>
        <w:ind w:firstLine="480"/>
      </w:pPr>
      <w:r>
        <w:rPr>
          <w:rFonts w:ascii="宋体" w:hAnsi="宋体" w:eastAsia="宋体"/>
          <w:sz w:val="24"/>
        </w:rPr>
        <w:t>（3）实际应用建议：在诊断场景中，通常以单连接方式与目标从站通信即可满足需求。若需同时监控多个设备，建议并发连接数不超过2个，以保证通信可靠性。</w:t>
      </w:r>
    </w:p>
    <w:p>
      <w:pPr>
        <w:spacing w:before="240" w:after="120"/>
      </w:pPr>
      <w:r>
        <w:rPr>
          <w:rFonts w:ascii="黑体" w:hAnsi="黑体" w:eastAsia="黑体"/>
          <w:b/>
          <w:sz w:val="28"/>
        </w:rPr>
        <w:t>6.4 设备扫描功能测试</w:t>
      </w:r>
    </w:p>
    <w:p>
      <w:pPr>
        <w:spacing w:before="240" w:after="120"/>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（2）在ESP32-S3上启动RTU扫描功能，扫描地址范围设定为1~247（Modbus标准地址范围），波特率分别设置为9600bps和38400bps。</w:t>
      </w:r>
    </w:p>
    <w:p>
      <w:pPr>
        <w:ind w:firstLine="480"/>
      </w:pPr>
      <w:r>
        <w:rPr>
          <w:rFonts w:ascii="宋体" w:hAnsi="宋体" w:eastAsia="宋体"/>
          <w:sz w:val="24"/>
        </w:rPr>
        <w:t>（3）记录扫描耗时、发现的设备数量及设备地址，与实际配置进行比对。</w:t>
      </w:r>
    </w:p>
    <w:p>
      <w:pPr>
        <w:spacing w:before="240" w:after="120"/>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spacing w:before="240" w:after="120"/>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pPr>
      <w:r>
        <w:rPr>
          <w:rFonts w:ascii="黑体" w:hAnsi="黑体" w:eastAsia="黑体"/>
          <w:b/>
          <w:sz w:val="28"/>
        </w:rPr>
        <w:t>6.5 报文抓取功能测试</w:t>
      </w:r>
    </w:p>
    <w:p>
      <w:pPr>
        <w:spacing w:before="240" w:after="120"/>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pPr>
      <w:r>
        <w:rPr>
          <w:rFonts w:ascii="黑体" w:hAnsi="黑体" w:eastAsia="黑体"/>
          <w:b/>
          <w:sz w:val="28"/>
        </w:rPr>
        <w:t>6.6 波形采集功能测试</w:t>
      </w:r>
    </w:p>
    <w:p>
      <w:pPr>
        <w:spacing w:before="240" w:after="120"/>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pPr>
      <w:r>
        <w:rPr>
          <w:rFonts w:ascii="黑体" w:hAnsi="黑体" w:eastAsia="黑体"/>
          <w:b/>
          <w:sz w:val="28"/>
        </w:rPr>
        <w:t>6.7 诊断报告测试</w:t>
      </w:r>
    </w:p>
    <w:p>
      <w:pPr>
        <w:spacing w:before="240" w:after="120"/>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pPr>
      <w:r>
        <w:rPr>
          <w:rFonts w:ascii="黑体" w:hAnsi="黑体" w:eastAsia="黑体"/>
          <w:b/>
          <w:sz w:val="24"/>
        </w:rPr>
        <w:t>6.7.3 结果分析</w:t>
      </w:r>
    </w:p>
    <w:p>
      <w:pPr>
        <w:ind w:firstLine="480"/>
      </w:pPr>
      <w:r>
        <w:rPr>
          <w:rFonts w:ascii="宋体" w:hAnsi="宋体" w:eastAsia="宋体"/>
          <w:sz w:val="24"/>
        </w:rPr>
        <w:t>（1）报告质量：生成的HTML报告包含设备清单、通信统计、健康评分、报文记录和诊断建议五大部分，内容完整且结构清晰。报告采用内嵌CSS样式，无需外部资源即可在任何浏览器中正常渲染。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pPr>
      <w:r>
        <w:rPr>
          <w:rFonts w:ascii="黑体" w:hAnsi="黑体" w:eastAsia="黑体"/>
          <w:b/>
          <w:sz w:val="28"/>
        </w:rPr>
        <w:t>6.8 系统稳定性测试</w:t>
      </w:r>
    </w:p>
    <w:p>
      <w:pPr>
        <w:spacing w:before="240" w:after="120"/>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pPr>
        <w:spacing w:before="240" w:after="120"/>
        <w:jc w:val="center"/>
      </w:pPr>
      <w:r>
        <w:rPr>
          <w:rFonts w:ascii="黑体" w:hAnsi="黑体" w:eastAsia="黑体"/>
          <w:b/>
          <w:sz w:val="32"/>
        </w:rPr>
        <w:t>第7章 总结与展望</w:t>
      </w:r>
    </w:p>
    <w:p>
      <w:pPr>
        <w:spacing w:before="240" w:after="120"/>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（1）完成了系统硬件平台的设计与搭建。以ESP32-S3-WROOM-1模组为主控核心，设计了包含MAX3485 RS-485收发器电路、ILI9341 TFT显示电路、ADC信号调理电路及电源管理电路在内的完整硬件系统。各模块经过原理图设计、PCB布局和实物焊接调试，功能验证通过。</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