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在独立任务中执行，而非在GUI任务里同步调用：全档扫描247个地址×5档波特率，在500ms超时下最坏可达数分钟，若同步执行，界面在此期间无法重绘、按键无响应，用户会误判为死机。改为独立任务后，GUI每帧读取进度变量刷新进度条（限帧10fps，避免整屏重绘占满SPI），用户可随时按BACK取消——取消标志在下一个地址前生效，扫描任务自行收尾并释放UART，避免两个任务同时操作总线。</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帧列表提供两种视图，长按OK切换：解析视图把每帧显示为「从站：功能码 地址/数量」的可读摘要，便于快速扫读；原始字节视图按十六进制逐字节显示（单行最多13字节，超出以“..”截断），用于比对点表、核对CRC字段或判断报文是否被截断。解不出结构的帧（短帧、CRC错）在原始视图下仍照常显示——现场最想看的恰恰是「这帧为什么不像正常报文」，藏起来等于掩盖线索。</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