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制度变迁视角下区域共同富裕的实现路径与效应评估"/>
    <w:p>
      <w:pPr>
        <w:pStyle w:val="Heading1"/>
      </w:pPr>
      <w:r>
        <w:t xml:space="preserve">制度变迁视角下区域共同富裕的实现路径与效应评估</w:t>
      </w:r>
    </w:p>
    <w:bookmarkStart w:id="20" w:name="基于浙江共同富裕示范区建设的合成控制研究"/>
    <w:p>
      <w:pPr>
        <w:pStyle w:val="Heading2"/>
      </w:pPr>
      <w:r>
        <w:t xml:space="preserve">——基于浙江共同富裕示范区建设的合成控制研究</w:t>
      </w:r>
    </w:p>
    <w:p>
      <w:r>
        <w:pict>
          <v:rect style="width:0;height:1.5pt" o:hralign="center" o:hrstd="t" o:hr="t"/>
        </w:pict>
      </w:r>
    </w:p>
    <w:p>
      <w:pPr>
        <w:pStyle w:val="FirstParagraph"/>
      </w:pPr>
      <w:r>
        <w:rPr>
          <w:bCs/>
          <w:b/>
        </w:rPr>
        <w:t xml:space="preserve">摘 要</w:t>
      </w:r>
      <w:r>
        <w:t xml:space="preserve">：如何在经济增长中实现分配公平，是发展经济学的核心命题，也是中国式现代化面临的重大挑战。本文将共同富裕置于制度变迁的理论视野中加以审视，以2021年浙江共同富裕示范区建设这一准自然实验为研究对象，运用合成控制法构建反事实分析框架，系统评估制度变迁对城乡收入差距的因果效应。研究发现，示范区建设使浙江省城乡收入比平均下降0.106，相对降幅达4.64%，且这一效应呈现出随时间递增的累积特征。进一步的机制分析表明，制度变迁通过重塑城乡要素流动格局、优化收入分配结构、推进公共服务均等化三重路径，打破了城乡二元结构的制度锁定，驱动城乡收入趋同。本文的理论意涵在于揭示了制度变量在”增长—分配”关系中的调节作用，为超越库兹涅茨曲线的路径依赖提供了中国经验；实践启示在于，共同富裕的实现需要系统性的制度变迁，而非单一政策的渐进调整。</w:t>
      </w:r>
    </w:p>
    <w:p>
      <w:pPr>
        <w:pStyle w:val="BodyText"/>
      </w:pPr>
      <w:r>
        <w:rPr>
          <w:bCs/>
          <w:b/>
        </w:rPr>
        <w:t xml:space="preserve">关键词</w:t>
      </w:r>
      <w:r>
        <w:t xml:space="preserve">：共同富裕；制度变迁；城乡收入差距；合成控制法；浙江示范区</w:t>
      </w:r>
    </w:p>
    <w:p>
      <w:r>
        <w:pict>
          <v:rect style="width:0;height:1.5pt" o:hralign="center" o:hrstd="t" o:hr="t"/>
        </w:pict>
      </w:r>
    </w:p>
    <w:bookmarkEnd w:id="20"/>
    <w:bookmarkStart w:id="26" w:name="一引言"/>
    <w:p>
      <w:pPr>
        <w:pStyle w:val="Heading2"/>
      </w:pPr>
      <w:r>
        <w:t xml:space="preserve">一、引言</w:t>
      </w:r>
    </w:p>
    <w:p>
      <w:pPr>
        <w:pStyle w:val="FirstParagraph"/>
      </w:pPr>
      <w:r>
        <w:t xml:space="preserve">经济增长与收入分配的关系，是发展经济学的核心命题。库兹涅茨的”倒U型曲线”假说认为，收入不平等是现代化进程中不可逾越的阶段</w:t>
      </w:r>
      <w:r>
        <w:rPr>
          <w:rStyle w:val="FootnoteReference"/>
        </w:rPr>
        <w:footnoteReference w:id="21"/>
      </w:r>
      <w:r>
        <w:t xml:space="preserve">。然而，皮凯蒂的研究表明资本收益率长期高于经济增长率是不平等的结构性根源</w:t>
      </w:r>
      <w:r>
        <w:rPr>
          <w:rStyle w:val="FootnoteReference"/>
        </w:rPr>
        <w:footnoteReference w:id="22"/>
      </w:r>
      <w:r>
        <w:t xml:space="preserve">，东亚经济体的经验也证明通过制度安排可以在快速增长中实现公平分配</w:t>
      </w:r>
      <w:r>
        <w:rPr>
          <w:rStyle w:val="FootnoteReference"/>
        </w:rPr>
        <w:footnoteReference w:id="23"/>
      </w:r>
      <w:r>
        <w:t xml:space="preserve">。这就引出一个根本性问题：</w:t>
      </w:r>
      <w:r>
        <w:rPr>
          <w:bCs/>
          <w:b/>
        </w:rPr>
        <w:t xml:space="preserve">制度变量在”增长—分配”关系中究竟扮演何种角色？</w:t>
      </w:r>
    </w:p>
    <w:p>
      <w:pPr>
        <w:pStyle w:val="BodyText"/>
      </w:pPr>
      <w:r>
        <w:t xml:space="preserve">中国的发展实践为回答这一问题提供了独特场域。改革开放以来，城乡居民收入比从1985年的1.86倍攀升至2009年的3.33倍，2022年仍维持在2.45倍。城乡收入差距的固化，本质上是城乡二元结构的制度锁定效应——户籍制度、土地制度和公共服务供给制度相互交织，构筑了城乡要素流动的制度壁垒</w:t>
      </w:r>
      <w:r>
        <w:rPr>
          <w:rStyle w:val="FootnoteReference"/>
        </w:rPr>
        <w:footnoteReference w:id="24"/>
      </w:r>
      <w:r>
        <w:rPr>
          <w:rStyle w:val="FootnoteReference"/>
        </w:rPr>
        <w:footnoteReference w:id="25"/>
      </w:r>
      <w:r>
        <w:t xml:space="preserve">。</w:t>
      </w:r>
    </w:p>
    <w:p>
      <w:pPr>
        <w:pStyle w:val="BodyText"/>
      </w:pPr>
      <w:r>
        <w:t xml:space="preserve">2021年6月，中共中央、国务院批复浙江建设共同富裕示范区，为研究制度变迁与共同富裕的关系提供了理想的”自然实验”。浙江民营经济活跃、城乡统筹较好，2020年城乡收入比为1.96倍，显著低于全国平均水平。示范区建设涵盖收入分配制度改革、城乡融合发展、公共服务均等化等系统性制度变迁。</w:t>
      </w:r>
    </w:p>
    <w:p>
      <w:pPr>
        <w:pStyle w:val="BodyText"/>
      </w:pPr>
      <w:r>
        <w:t xml:space="preserve">本文试图回答的核心问题是：</w:t>
      </w:r>
      <w:r>
        <w:rPr>
          <w:bCs/>
          <w:b/>
        </w:rPr>
        <w:t xml:space="preserve">浙江共同富裕示范区建设是否显著缩小了城乡收入差距？其作用机制是什么？政策效应如何随时间演变？</w:t>
      </w:r>
      <w:r>
        <w:t xml:space="preserve">为克服政策评估中的”反事实推断”难题，本文采用合成控制法，通过对多个控制省份进行数据驱动的加权组合，构建”合成浙江”作为反事实的最佳近似，实现对政策效应的因果识别。</w:t>
      </w:r>
    </w:p>
    <w:p>
      <w:pPr>
        <w:pStyle w:val="BodyText"/>
      </w:pPr>
      <w:r>
        <w:t xml:space="preserve">本文结构安排如下：第二部分构建理论框架；第三部分介绍研究设计；第四部分报告实证结果；第五部分进行稳健性检验；第六部分讨论作用机制；第七部分总结结论与启示。</w:t>
      </w:r>
    </w:p>
    <w:p>
      <w:r>
        <w:pict>
          <v:rect style="width:0;height:1.5pt" o:hralign="center" o:hrstd="t" o:hr="t"/>
        </w:pict>
      </w:r>
    </w:p>
    <w:bookmarkEnd w:id="26"/>
    <w:bookmarkStart w:id="34" w:name="二理论框架制度变迁何以驱动共同富裕"/>
    <w:p>
      <w:pPr>
        <w:pStyle w:val="Heading2"/>
      </w:pPr>
      <w:r>
        <w:t xml:space="preserve">二、理论框架：制度变迁何以驱动共同富裕</w:t>
      </w:r>
    </w:p>
    <w:bookmarkStart w:id="31" w:name="一城乡二元结构的制度根源"/>
    <w:p>
      <w:pPr>
        <w:pStyle w:val="Heading3"/>
      </w:pPr>
      <w:r>
        <w:t xml:space="preserve">（一）城乡二元结构的制度根源</w:t>
      </w:r>
    </w:p>
    <w:p>
      <w:pPr>
        <w:pStyle w:val="FirstParagraph"/>
      </w:pPr>
      <w:r>
        <w:t xml:space="preserve">刘易斯的二元经济理论认为，城乡收入差距是发展阶段的必然现象，随着劳动力转移差距终将自动弥合</w:t>
      </w:r>
      <w:r>
        <w:rPr>
          <w:rStyle w:val="FootnoteReference"/>
        </w:rPr>
        <w:footnoteReference w:id="27"/>
      </w:r>
      <w:r>
        <w:t xml:space="preserve">。然而，中国经历了大规模人口流动，城乡差距却持续扩大。蔡昉指出，根本原因在于制度障碍阻断了劳动力的自由流动</w:t>
      </w:r>
      <w:r>
        <w:rPr>
          <w:rStyle w:val="FootnoteReference"/>
        </w:rPr>
        <w:footnoteReference w:id="28"/>
      </w:r>
      <w:r>
        <w:t xml:space="preserve">。</w:t>
      </w:r>
    </w:p>
    <w:p>
      <w:pPr>
        <w:pStyle w:val="BodyText"/>
      </w:pPr>
      <w:r>
        <w:t xml:space="preserve">户籍制度是最关键的制度安排。户籍与公共服务权利深度绑定，造成了”半城镇化”现象——农民工在就业上被计入城镇，但在公共服务上仍被排斥。土地制度同样构成约束，农民对土地仅拥有使用权，农村资产难以市场化流转</w:t>
      </w:r>
      <w:r>
        <w:rPr>
          <w:rStyle w:val="FootnoteReference"/>
        </w:rPr>
        <w:footnoteReference w:id="29"/>
      </w:r>
      <w:r>
        <w:t xml:space="preserve">。公共服务的城市偏向则从能力发展维度固化了城乡差距，正如阿玛蒂亚·森所言，贫困的本质是可行能力的剥夺</w:t>
      </w:r>
      <w:r>
        <w:rPr>
          <w:rStyle w:val="FootnoteReference"/>
        </w:rPr>
        <w:footnoteReference w:id="30"/>
      </w:r>
      <w:r>
        <w:t xml:space="preserve">。</w:t>
      </w:r>
    </w:p>
    <w:p>
      <w:pPr>
        <w:pStyle w:val="BodyText"/>
      </w:pPr>
      <w:r>
        <w:t xml:space="preserve">综上，城乡收入差距并非市场经济的自然产物，而是户籍制度、土地制度和公共服务制度相互交织形成的”制度锁定”。打破城乡二元结构，必须依靠系统性的制度变迁。</w:t>
      </w:r>
    </w:p>
    <w:bookmarkEnd w:id="31"/>
    <w:bookmarkStart w:id="32" w:name="二制度变迁的作用机制"/>
    <w:p>
      <w:pPr>
        <w:pStyle w:val="Heading3"/>
      </w:pPr>
      <w:r>
        <w:t xml:space="preserve">（二）制度变迁的作用机制</w:t>
      </w:r>
    </w:p>
    <w:p>
      <w:pPr>
        <w:pStyle w:val="FirstParagraph"/>
      </w:pPr>
      <w:r>
        <w:t xml:space="preserve">浙江共同富裕示范区建设涵盖收入分配制度改革、城乡融合发展、公共服务均等化等多个领域，理论上通过三条路径作用于城乡收入差距：</w:t>
      </w:r>
    </w:p>
    <w:p>
      <w:pPr>
        <w:pStyle w:val="BodyText"/>
      </w:pPr>
      <w:r>
        <w:rPr>
          <w:bCs/>
          <w:b/>
        </w:rPr>
        <w:t xml:space="preserve">要素流动路径</w:t>
      </w:r>
      <w:r>
        <w:t xml:space="preserve">：通过深化户籍制度和土地制度改革，剥离附着于户籍的公共服务权利，赋予农民更完整的土地权利，实现城乡要素双向流动，使要素报酬趋于均等化。</w:t>
      </w:r>
    </w:p>
    <w:p>
      <w:pPr>
        <w:pStyle w:val="BodyText"/>
      </w:pPr>
      <w:r>
        <w:rPr>
          <w:bCs/>
          <w:b/>
        </w:rPr>
        <w:t xml:space="preserve">收入分配路径</w:t>
      </w:r>
      <w:r>
        <w:t xml:space="preserve">：从初次分配（完善最低工资标准）、再分配（加大转移支付）和三次分配（规范慈善事业）三个层次推进改革，矫正市场失灵导致的分配扭曲。</w:t>
      </w:r>
    </w:p>
    <w:p>
      <w:pPr>
        <w:pStyle w:val="BodyText"/>
      </w:pPr>
      <w:r>
        <w:rPr>
          <w:bCs/>
          <w:b/>
        </w:rPr>
        <w:t xml:space="preserve">能力发展路径</w:t>
      </w:r>
      <w:r>
        <w:t xml:space="preserve">：通过推进教育、医疗、社保等基本公共服务均等化，提升农村居民的可行能力，打破”低人力资本—低收入”的代际贫困陷阱。</w:t>
      </w:r>
    </w:p>
    <w:p>
      <w:pPr>
        <w:pStyle w:val="BodyText"/>
      </w:pPr>
      <w:r>
        <w:t xml:space="preserve">三条路径相互交织、相互强化，构成制度变迁驱动共同富裕的完整机制。</w:t>
      </w:r>
    </w:p>
    <w:bookmarkEnd w:id="32"/>
    <w:bookmarkStart w:id="33" w:name="三研究假说"/>
    <w:p>
      <w:pPr>
        <w:pStyle w:val="Heading3"/>
      </w:pPr>
      <w:r>
        <w:t xml:space="preserve">（三）研究假说</w:t>
      </w:r>
    </w:p>
    <w:p>
      <w:pPr>
        <w:pStyle w:val="FirstParagraph"/>
      </w:pPr>
      <w:r>
        <w:t xml:space="preserve">基于上述分析，本文提出三个研究假说：</w:t>
      </w:r>
    </w:p>
    <w:p>
      <w:pPr>
        <w:pStyle w:val="BodyText"/>
      </w:pPr>
      <w:r>
        <w:rPr>
          <w:bCs/>
          <w:b/>
        </w:rPr>
        <w:t xml:space="preserve">假说一（政策效应假说）</w:t>
      </w:r>
      <w:r>
        <w:t xml:space="preserve">：浙江共同富裕示范区建设通过系统性的制度变迁，显著缩小了城乡收入差距。</w:t>
      </w:r>
    </w:p>
    <w:p>
      <w:pPr>
        <w:pStyle w:val="BodyText"/>
      </w:pPr>
      <w:r>
        <w:rPr>
          <w:bCs/>
          <w:b/>
        </w:rPr>
        <w:t xml:space="preserve">假说二（动态效应假说）</w:t>
      </w:r>
      <w:r>
        <w:t xml:space="preserve">：制度变迁的效应具有累积性特征，政策效应随时间推移逐步增强。</w:t>
      </w:r>
    </w:p>
    <w:p>
      <w:pPr>
        <w:pStyle w:val="BodyText"/>
      </w:pPr>
      <w:r>
        <w:rPr>
          <w:bCs/>
          <w:b/>
        </w:rPr>
        <w:t xml:space="preserve">假说三（机制假说）</w:t>
      </w:r>
      <w:r>
        <w:t xml:space="preserve">：制度变迁主要通过促进城乡要素双向流动、优化收入分配结构、推进公共服务均等化三条路径发挥作用，且三条路径协同作用。</w:t>
      </w:r>
    </w:p>
    <w:p>
      <w:pPr>
        <w:pStyle w:val="BodyText"/>
      </w:pPr>
      <w:r>
        <w:t xml:space="preserve">三个假说在逻辑上存在递进关系，共同构成对”制度变迁何以驱动共同富裕”的完整回答。</w:t>
      </w:r>
    </w:p>
    <w:p>
      <w:r>
        <w:pict>
          <v:rect style="width:0;height:1.5pt" o:hralign="center" o:hrstd="t" o:hr="t"/>
        </w:pict>
      </w:r>
    </w:p>
    <w:bookmarkEnd w:id="33"/>
    <w:bookmarkEnd w:id="34"/>
    <w:bookmarkStart w:id="41" w:name="三研究设计合成控制法的原理与实施"/>
    <w:p>
      <w:pPr>
        <w:pStyle w:val="Heading2"/>
      </w:pPr>
      <w:r>
        <w:t xml:space="preserve">三、研究设计：合成控制法的原理与实施</w:t>
      </w:r>
    </w:p>
    <w:bookmarkStart w:id="38" w:name="一方法选择的逻辑"/>
    <w:p>
      <w:pPr>
        <w:pStyle w:val="Heading3"/>
      </w:pPr>
      <w:r>
        <w:t xml:space="preserve">（一）方法选择的逻辑</w:t>
      </w:r>
    </w:p>
    <w:p>
      <w:pPr>
        <w:pStyle w:val="FirstParagraph"/>
      </w:pPr>
      <w:r>
        <w:t xml:space="preserve">政策效应评估的核心挑战在于构建有效的反事实。理想的因果推断需要比较同一单位在接受政策和不接受政策两种状态下的结果差异，但现实中我们只能观察到其中一种状态——这就是著名的”因果推断的根本问题”</w:t>
      </w:r>
      <w:r>
        <w:rPr>
          <w:rStyle w:val="FootnoteReference"/>
        </w:rPr>
        <w:footnoteReference w:id="35"/>
      </w:r>
      <w:r>
        <w:t xml:space="preserve">。对于浙江共同富裕示范区建设而言，我们可以观察到浙江成为示范区后的城乡收入差距变化，但无法观察到假如浙江未成为示范区时的变化轨迹。</w:t>
      </w:r>
    </w:p>
    <w:p>
      <w:pPr>
        <w:pStyle w:val="BodyText"/>
      </w:pPr>
      <w:r>
        <w:t xml:space="preserve">传统的双重差分法（DID）通过比较处理组与控制组在政策前后的变化差异来识别因果效应，其有效性依赖于”平行趋势假设”——即处理组与控制组在没有政策干预时具有相同的变化趋势。然而，浙江作为中国经济最发达的省份之一，在经济规模、产业结构、城镇化水平、制度环境等方面都与其他省份存在显著差异。这种差异意味着很难找到一个或几个与浙江具有平行趋势的对照省份，直接应用双重差分法可能导致严重的估计偏误。</w:t>
      </w:r>
    </w:p>
    <w:p>
      <w:pPr>
        <w:pStyle w:val="BodyText"/>
      </w:pPr>
      <w:r>
        <w:t xml:space="preserve">合成控制法（Synthetic Control Method）为解决这一问题提供了创新性的方法论工具。该方法由Abadie和Gardeazabal首次提出，用于评估巴斯克地区冲突的经济影响</w:t>
      </w:r>
      <w:r>
        <w:rPr>
          <w:rStyle w:val="FootnoteReference"/>
        </w:rPr>
        <w:footnoteReference w:id="36"/>
      </w:r>
      <w:r>
        <w:t xml:space="preserve">，后经Abadie、Diamond和Hainmueller系统发展</w:t>
      </w:r>
      <w:r>
        <w:rPr>
          <w:rStyle w:val="FootnoteReference"/>
        </w:rPr>
        <w:footnoteReference w:id="37"/>
      </w:r>
      <w:r>
        <w:t xml:space="preserve">，已成为政策评估领域的主流方法。其核心思想可以概括为：既然单一控制单位难以复制处理单位的特征，不妨通过对多个控制单位进行加权组合，构建一个”合成”的控制单位，使其在政策实施前与处理单位尽可能相似。如果这一合成控制单位能够准确复制处理单位在政策前的特征和变化趋势，那么它在政策后的表现就可以作为处理单位反事实的最佳近似。</w:t>
      </w:r>
    </w:p>
    <w:p>
      <w:pPr>
        <w:pStyle w:val="BodyText"/>
      </w:pPr>
      <w:r>
        <w:t xml:space="preserve">相较于传统方法，合成控制法具有三重优势。其一，它不要求处理组与任何单一控制单位具有平行趋势，而是通过数据驱动的加权组合来实现”事前匹配”，大大拓展了方法的适用范围。其二，权重的确定完全透明——研究者和读者可以清楚地知道合成控制组由哪些单位、以何种权重构成，增强了研究的可复制性和可解释性。其三，该方法特别适用于单一处理单位的政策评估，这在省级或国家级政策分析中尤为重要。</w:t>
      </w:r>
    </w:p>
    <w:bookmarkEnd w:id="38"/>
    <w:bookmarkStart w:id="39" w:name="二模型设定"/>
    <w:p>
      <w:pPr>
        <w:pStyle w:val="Heading3"/>
      </w:pPr>
      <w:r>
        <w:t xml:space="preserve">（二）模型设定</w:t>
      </w:r>
    </w:p>
    <w:p>
      <w:pPr>
        <w:pStyle w:val="FirstParagraph"/>
      </w:pPr>
      <w:r>
        <w:t xml:space="preserve">设有</w:t>
      </w:r>
      <m:oMath>
        <m:r>
          <m:t>J</m:t>
        </m:r>
        <m:r>
          <m:rPr>
            <m:sty m:val="p"/>
          </m:rPr>
          <m:t>+</m:t>
        </m:r>
        <m:r>
          <m:t>1</m:t>
        </m:r>
      </m:oMath>
      <w:r>
        <w:t xml:space="preserve">个省份在</w:t>
      </w:r>
      <m:oMath>
        <m:r>
          <m:t>T</m:t>
        </m:r>
      </m:oMath>
      <w:r>
        <w:t xml:space="preserve">期观察数据，其中浙江省（记为</w:t>
      </w:r>
      <m:oMath>
        <m:r>
          <m:t>i</m:t>
        </m:r>
        <m:r>
          <m:rPr>
            <m:sty m:val="p"/>
          </m:rPr>
          <m:t>=</m:t>
        </m:r>
        <m:r>
          <m:t>1</m:t>
        </m:r>
      </m:oMath>
      <w:r>
        <w:t xml:space="preserve">）在第</w:t>
      </w:r>
      <m:oMath>
        <m:sSub>
          <m:e>
            <m:r>
              <m:t>T</m:t>
            </m:r>
          </m:e>
          <m:sub>
            <m:r>
              <m:t>0</m:t>
            </m:r>
          </m:sub>
        </m:sSub>
      </m:oMath>
      <w:r>
        <w:t xml:space="preserve">期（2021年）开始实施共同富裕示范区政策，其余</w:t>
      </w:r>
      <m:oMath>
        <m:r>
          <m:t>J</m:t>
        </m:r>
      </m:oMath>
      <w:r>
        <w:t xml:space="preserve">个省份构成潜在控制组。用</w:t>
      </w:r>
      <m:oMath>
        <m:sSubSup>
          <m:e>
            <m:r>
              <m:t>Y</m:t>
            </m:r>
          </m:e>
          <m:sub>
            <m:r>
              <m:t>i</m:t>
            </m:r>
            <m:r>
              <m:t>t</m:t>
            </m:r>
          </m:sub>
          <m:sup>
            <m:r>
              <m:t>N</m:t>
            </m:r>
          </m:sup>
        </m:sSubSup>
      </m:oMath>
      <w:r>
        <w:t xml:space="preserve">表示省份</w:t>
      </w:r>
      <m:oMath>
        <m:r>
          <m:t>i</m:t>
        </m:r>
      </m:oMath>
      <w:r>
        <w:t xml:space="preserve">在</w:t>
      </w:r>
      <m:oMath>
        <m:r>
          <m:t>t</m:t>
        </m:r>
      </m:oMath>
      <w:r>
        <w:t xml:space="preserve">期未接受政策干预时的城乡收入比，</w:t>
      </w:r>
      <m:oMath>
        <m:sSubSup>
          <m:e>
            <m:r>
              <m:t>Y</m:t>
            </m:r>
          </m:e>
          <m:sub>
            <m:r>
              <m:t>i</m:t>
            </m:r>
            <m:r>
              <m:t>t</m:t>
            </m:r>
          </m:sub>
          <m:sup>
            <m:r>
              <m:t>I</m:t>
            </m:r>
          </m:sup>
        </m:sSubSup>
      </m:oMath>
      <w:r>
        <w:t xml:space="preserve">表示接受政策干预时的城乡收入比。本文关心的政策效应可以表示为：</w:t>
      </w:r>
    </w:p>
    <w:p>
      <w:pPr>
        <w:pStyle w:val="BodyText"/>
      </w:pPr>
      <m:oMathPara>
        <m:oMathParaPr>
          <m:jc m:val="center"/>
        </m:oMathParaPr>
        <m:oMath>
          <m:sSub>
            <m:e>
              <m:r>
                <m:t>τ</m:t>
              </m:r>
            </m:e>
            <m:sub>
              <m:r>
                <m:t>1</m:t>
              </m:r>
              <m:r>
                <m:t>t</m:t>
              </m:r>
            </m:sub>
          </m:sSub>
          <m:r>
            <m:rPr>
              <m:sty m:val="p"/>
            </m:rPr>
            <m:t>=</m:t>
          </m:r>
          <m:sSubSup>
            <m:e>
              <m:r>
                <m:t>Y</m:t>
              </m:r>
            </m:e>
            <m:sub>
              <m:r>
                <m:t>1</m:t>
              </m:r>
              <m:r>
                <m:t>t</m:t>
              </m:r>
            </m:sub>
            <m:sup>
              <m:r>
                <m:t>I</m:t>
              </m:r>
            </m:sup>
          </m:sSubSup>
          <m:r>
            <m:rPr>
              <m:sty m:val="p"/>
            </m:rPr>
            <m:t>−</m:t>
          </m:r>
          <m:sSubSup>
            <m:e>
              <m:r>
                <m:t>Y</m:t>
              </m:r>
            </m:e>
            <m:sub>
              <m:r>
                <m:t>1</m:t>
              </m:r>
              <m:r>
                <m:t>t</m:t>
              </m:r>
            </m:sub>
            <m:sup>
              <m:r>
                <m:t>N</m:t>
              </m:r>
            </m:sup>
          </m:sSubSup>
          <m:r>
            <m:rPr>
              <m:sty m:val="p"/>
            </m:rPr>
            <m:t>,</m:t>
          </m:r>
          <m:r>
            <m:t> </m:t>
          </m:r>
          <m:r>
            <m:t>t</m:t>
          </m:r>
          <m:r>
            <m:rPr>
              <m:sty m:val="p"/>
            </m:rPr>
            <m:t>≥</m:t>
          </m:r>
          <m:sSub>
            <m:e>
              <m:r>
                <m:t>T</m:t>
              </m:r>
            </m:e>
            <m:sub>
              <m:r>
                <m:t>0</m:t>
              </m:r>
            </m:sub>
          </m:sSub>
        </m:oMath>
      </m:oMathPara>
    </w:p>
    <w:p>
      <w:pPr>
        <w:pStyle w:val="FirstParagraph"/>
      </w:pPr>
      <w:r>
        <w:t xml:space="preserve">由于</w:t>
      </w:r>
      <m:oMath>
        <m:sSubSup>
          <m:e>
            <m:r>
              <m:t>Y</m:t>
            </m:r>
          </m:e>
          <m:sub>
            <m:r>
              <m:t>1</m:t>
            </m:r>
            <m:r>
              <m:t>t</m:t>
            </m:r>
          </m:sub>
          <m:sup>
            <m:r>
              <m:t>N</m:t>
            </m:r>
          </m:sup>
        </m:sSubSup>
      </m:oMath>
      <w:r>
        <w:t xml:space="preserve">（浙江未成为示范区时的城乡收入比）不可观测，我们需要利用控制省份构建反事实。令</w:t>
      </w:r>
      <m:oMath>
        <m:r>
          <m:rPr>
            <m:sty m:val="b"/>
          </m:rPr>
          <m:t>W</m:t>
        </m:r>
        <m:r>
          <m:rPr>
            <m:sty m:val="p"/>
          </m:rPr>
          <m:t>=</m:t>
        </m:r>
        <m:d>
          <m:dPr>
            <m:begChr m:val="("/>
            <m:endChr m:val=")"/>
            <m:sepChr m:val=""/>
            <m:grow/>
          </m:dPr>
          <m:e>
            <m:sSub>
              <m:e>
                <m:r>
                  <m:t>w</m:t>
                </m:r>
              </m:e>
              <m:sub>
                <m:r>
                  <m:t>2</m:t>
                </m:r>
              </m:sub>
            </m:sSub>
            <m:r>
              <m:rPr>
                <m:sty m:val="p"/>
              </m:rPr>
              <m:t>,</m:t>
            </m:r>
            <m:sSub>
              <m:e>
                <m:r>
                  <m:t>w</m:t>
                </m:r>
              </m:e>
              <m:sub>
                <m:r>
                  <m:t>3</m:t>
                </m:r>
              </m:sub>
            </m:sSub>
            <m:r>
              <m:rPr>
                <m:sty m:val="p"/>
              </m:rPr>
              <m:t>,</m:t>
            </m:r>
            <m:r>
              <m:rPr>
                <m:sty m:val="p"/>
              </m:rPr>
              <m:t>…</m:t>
            </m:r>
            <m:r>
              <m:rPr>
                <m:sty m:val="p"/>
              </m:rPr>
              <m:t>,</m:t>
            </m:r>
            <m:sSub>
              <m:e>
                <m:r>
                  <m:t>w</m:t>
                </m:r>
              </m:e>
              <m:sub>
                <m:r>
                  <m:t>J</m:t>
                </m:r>
                <m:r>
                  <m:rPr>
                    <m:sty m:val="p"/>
                  </m:rPr>
                  <m:t>+</m:t>
                </m:r>
                <m:r>
                  <m:t>1</m:t>
                </m:r>
              </m:sub>
            </m:sSub>
          </m:e>
        </m:d>
        <m:r>
          <m:rPr>
            <m:sty m:val="p"/>
          </m:rPr>
          <m:t>′</m:t>
        </m:r>
      </m:oMath>
      <w:r>
        <w:t xml:space="preserve">为控制省份的权重向量，满足非负性约束</w:t>
      </w:r>
      <m:oMath>
        <m:sSub>
          <m:e>
            <m:r>
              <m:t>w</m:t>
            </m:r>
          </m:e>
          <m:sub>
            <m:r>
              <m:t>j</m:t>
            </m:r>
          </m:sub>
        </m:sSub>
        <m:r>
          <m:rPr>
            <m:sty m:val="p"/>
          </m:rPr>
          <m:t>≥</m:t>
        </m:r>
        <m:r>
          <m:t>0</m:t>
        </m:r>
      </m:oMath>
      <w:r>
        <w:t xml:space="preserve">和归一化约束</w:t>
      </w:r>
      <m:oMath>
        <m:nary>
          <m:naryPr>
            <m:chr m:val="∑"/>
            <m:limLoc m:val="undOvr"/>
            <m:subHide m:val="off"/>
            <m:supHide m:val="off"/>
          </m:naryPr>
          <m:sub>
            <m:r>
              <m:t>j</m:t>
            </m:r>
            <m:r>
              <m:rPr>
                <m:sty m:val="p"/>
              </m:rPr>
              <m:t>=</m:t>
            </m:r>
            <m:r>
              <m:t>2</m:t>
            </m:r>
          </m:sub>
          <m:sup>
            <m:r>
              <m:t>J</m:t>
            </m:r>
            <m:r>
              <m:rPr>
                <m:sty m:val="p"/>
              </m:rPr>
              <m:t>+</m:t>
            </m:r>
            <m:r>
              <m:t>1</m:t>
            </m:r>
          </m:sup>
          <m:e>
            <m:sSub>
              <m:e>
                <m:r>
                  <m:t>w</m:t>
                </m:r>
              </m:e>
              <m:sub>
                <m:r>
                  <m:t>j</m:t>
                </m:r>
              </m:sub>
            </m:sSub>
          </m:e>
        </m:nary>
        <m:r>
          <m:rPr>
            <m:sty m:val="p"/>
          </m:rPr>
          <m:t>=</m:t>
        </m:r>
        <m:r>
          <m:t>1</m:t>
        </m:r>
      </m:oMath>
      <w:r>
        <w:t xml:space="preserve">。合成控制的反事实结果定义为：</w:t>
      </w:r>
    </w:p>
    <w:p>
      <w:pPr>
        <w:pStyle w:val="BodyText"/>
      </w:pPr>
      <m:oMathPara>
        <m:oMathParaPr>
          <m:jc m:val="center"/>
        </m:oMathParaPr>
        <m:oMath>
          <m:sSubSup>
            <m:e>
              <m:acc>
                <m:accPr>
                  <m:chr m:val="̂"/>
                </m:accPr>
                <m:e>
                  <m:r>
                    <m:t>Y</m:t>
                  </m:r>
                </m:e>
              </m:acc>
            </m:e>
            <m:sub>
              <m:r>
                <m:t>1</m:t>
              </m:r>
              <m:r>
                <m:t>t</m:t>
              </m:r>
            </m:sub>
            <m:sup>
              <m:r>
                <m:t>N</m:t>
              </m:r>
            </m:sup>
          </m:sSubSup>
          <m:r>
            <m:rPr>
              <m:sty m:val="p"/>
            </m:rPr>
            <m:t>=</m:t>
          </m:r>
          <m:nary>
            <m:naryPr>
              <m:chr m:val="∑"/>
              <m:limLoc m:val="undOvr"/>
              <m:subHide m:val="off"/>
              <m:supHide m:val="off"/>
            </m:naryPr>
            <m:sub>
              <m:r>
                <m:t>j</m:t>
              </m:r>
              <m:r>
                <m:rPr>
                  <m:sty m:val="p"/>
                </m:rPr>
                <m:t>=</m:t>
              </m:r>
              <m:r>
                <m:t>2</m:t>
              </m:r>
            </m:sub>
            <m:sup>
              <m:r>
                <m:t>J</m:t>
              </m:r>
              <m:r>
                <m:rPr>
                  <m:sty m:val="p"/>
                </m:rPr>
                <m:t>+</m:t>
              </m:r>
              <m:r>
                <m:t>1</m:t>
              </m:r>
            </m:sup>
            <m:e>
              <m:sSub>
                <m:e>
                  <m:r>
                    <m:t>w</m:t>
                  </m:r>
                </m:e>
                <m:sub>
                  <m:r>
                    <m:t>j</m:t>
                  </m:r>
                </m:sub>
              </m:sSub>
            </m:e>
          </m:nary>
          <m:sSub>
            <m:e>
              <m:r>
                <m:t>Y</m:t>
              </m:r>
            </m:e>
            <m:sub>
              <m:r>
                <m:t>j</m:t>
              </m:r>
              <m:r>
                <m:t>t</m:t>
              </m:r>
            </m:sub>
          </m:sSub>
        </m:oMath>
      </m:oMathPara>
    </w:p>
    <w:p>
      <w:pPr>
        <w:pStyle w:val="FirstParagraph"/>
      </w:pPr>
      <w:r>
        <w:t xml:space="preserve">这一构造的直观含义是：如果我们能找到一组权重，使控制省份的加权平均在政策实施前与浙江高度相似，那么这一加权平均在政策实施后的表现就可以近似浙江的反事实。政策效应的估计量自然定义为：</w:t>
      </w:r>
    </w:p>
    <w:p>
      <w:pPr>
        <w:pStyle w:val="BodyText"/>
      </w:pPr>
      <m:oMathPara>
        <m:oMathParaPr>
          <m:jc m:val="center"/>
        </m:oMathParaPr>
        <m:oMath>
          <m:sSub>
            <m:e>
              <m:acc>
                <m:accPr>
                  <m:chr m:val="̂"/>
                </m:accPr>
                <m:e>
                  <m:r>
                    <m:t>τ</m:t>
                  </m:r>
                </m:e>
              </m:acc>
            </m:e>
            <m:sub>
              <m:r>
                <m:t>1</m:t>
              </m:r>
              <m:r>
                <m:t>t</m:t>
              </m:r>
            </m:sub>
          </m:sSub>
          <m:r>
            <m:rPr>
              <m:sty m:val="p"/>
            </m:rPr>
            <m:t>=</m:t>
          </m:r>
          <m:sSub>
            <m:e>
              <m:r>
                <m:t>Y</m:t>
              </m:r>
            </m:e>
            <m:sub>
              <m:r>
                <m:t>1</m:t>
              </m:r>
              <m:r>
                <m:t>t</m:t>
              </m:r>
            </m:sub>
          </m:sSub>
          <m:r>
            <m:rPr>
              <m:sty m:val="p"/>
            </m:rPr>
            <m:t>−</m:t>
          </m:r>
          <m:sSubSup>
            <m:e>
              <m:acc>
                <m:accPr>
                  <m:chr m:val="̂"/>
                </m:accPr>
                <m:e>
                  <m:r>
                    <m:t>Y</m:t>
                  </m:r>
                </m:e>
              </m:acc>
            </m:e>
            <m:sub>
              <m:r>
                <m:t>1</m:t>
              </m:r>
              <m:r>
                <m:t>t</m:t>
              </m:r>
            </m:sub>
            <m:sup>
              <m:r>
                <m:t>N</m:t>
              </m:r>
            </m:sup>
          </m:sSubSup>
          <m:r>
            <m:rPr>
              <m:sty m:val="p"/>
            </m:rPr>
            <m:t>,</m:t>
          </m:r>
          <m:r>
            <m:t> </m:t>
          </m:r>
          <m:r>
            <m:t>t</m:t>
          </m:r>
          <m:r>
            <m:rPr>
              <m:sty m:val="p"/>
            </m:rPr>
            <m:t>≥</m:t>
          </m:r>
          <m:sSub>
            <m:e>
              <m:r>
                <m:t>T</m:t>
              </m:r>
            </m:e>
            <m:sub>
              <m:r>
                <m:t>0</m:t>
              </m:r>
            </m:sub>
          </m:sSub>
        </m:oMath>
      </m:oMathPara>
    </w:p>
    <w:p>
      <w:pPr>
        <w:pStyle w:val="FirstParagraph"/>
      </w:pPr>
      <w:r>
        <w:t xml:space="preserve">权重的确定遵循最优化原则。设</w:t>
      </w:r>
      <m:oMath>
        <m:sSub>
          <m:e>
            <m:r>
              <m:rPr>
                <m:sty m:val="b"/>
              </m:rPr>
              <m:t>X</m:t>
            </m:r>
          </m:e>
          <m:sub>
            <m:r>
              <m:t>1</m:t>
            </m:r>
          </m:sub>
        </m:sSub>
      </m:oMath>
      <w:r>
        <w:t xml:space="preserve">为浙江省的预测变量向量（如人均GDP、城镇化率等的政策前均值），</w:t>
      </w:r>
      <m:oMath>
        <m:sSub>
          <m:e>
            <m:r>
              <m:rPr>
                <m:sty m:val="b"/>
              </m:rPr>
              <m:t>X</m:t>
            </m:r>
          </m:e>
          <m:sub>
            <m:r>
              <m:t>0</m:t>
            </m:r>
          </m:sub>
        </m:sSub>
      </m:oMath>
      <w:r>
        <w:t xml:space="preserve">为控制省份的预测变量矩阵。合成控制法寻找权重</w:t>
      </w:r>
      <m:oMath>
        <m:r>
          <m:rPr>
            <m:sty m:val="b"/>
          </m:rPr>
          <m:t>W</m:t>
        </m:r>
      </m:oMath>
      <w:r>
        <w:t xml:space="preserve">，使合成浙江与真实浙江在预测变量上的加权距离最小化：</w:t>
      </w:r>
    </w:p>
    <w:p>
      <w:pPr>
        <w:pStyle w:val="BodyText"/>
      </w:pPr>
      <m:oMathPara>
        <m:oMathParaPr>
          <m:jc m:val="center"/>
        </m:oMathParaPr>
        <m:oMath>
          <m:sSup>
            <m:e>
              <m:r>
                <m:rPr>
                  <m:sty m:val="b"/>
                </m:rPr>
                <m:t>W</m:t>
              </m:r>
            </m:e>
            <m:sup>
              <m:r>
                <m:rPr>
                  <m:sty m:val="p"/>
                </m:rPr>
                <m:t>*</m:t>
              </m:r>
            </m:sup>
          </m:sSup>
          <m:r>
            <m:rPr>
              <m:sty m:val="p"/>
            </m:rPr>
            <m:t>=</m:t>
          </m:r>
          <m:r>
            <m:rPr>
              <m:sty m:val="p"/>
            </m:rPr>
            <m:t>arg</m:t>
          </m:r>
          <m:limLow>
            <m:e>
              <m:r>
                <m:rPr>
                  <m:sty m:val="p"/>
                </m:rPr>
                <m:t>min</m:t>
              </m:r>
            </m:e>
            <m:lim>
              <m:r>
                <m:rPr>
                  <m:sty m:val="b"/>
                </m:rPr>
                <m:t>W</m:t>
              </m:r>
            </m:lim>
          </m:limLow>
          <m:d>
            <m:dPr>
              <m:begChr m:val="("/>
              <m:endChr m:val=")"/>
              <m:sepChr m:val=""/>
              <m:grow/>
            </m:dPr>
            <m:e>
              <m:sSub>
                <m:e>
                  <m:r>
                    <m:rPr>
                      <m:sty m:val="b"/>
                    </m:rPr>
                    <m:t>X</m:t>
                  </m:r>
                </m:e>
                <m:sub>
                  <m:r>
                    <m:t>1</m:t>
                  </m:r>
                </m:sub>
              </m:sSub>
              <m:r>
                <m:rPr>
                  <m:sty m:val="p"/>
                </m:rPr>
                <m:t>−</m:t>
              </m:r>
              <m:sSub>
                <m:e>
                  <m:r>
                    <m:rPr>
                      <m:sty m:val="b"/>
                    </m:rPr>
                    <m:t>X</m:t>
                  </m:r>
                </m:e>
                <m:sub>
                  <m:r>
                    <m:t>0</m:t>
                  </m:r>
                </m:sub>
              </m:sSub>
              <m:r>
                <m:rPr>
                  <m:sty m:val="b"/>
                </m:rPr>
                <m:t>W</m:t>
              </m:r>
            </m:e>
          </m:d>
          <m:r>
            <m:rPr>
              <m:sty m:val="p"/>
            </m:rPr>
            <m:t>′</m:t>
          </m:r>
          <m:r>
            <m:rPr>
              <m:sty m:val="b"/>
            </m:rPr>
            <m:t>V</m:t>
          </m:r>
          <m:d>
            <m:dPr>
              <m:begChr m:val="("/>
              <m:endChr m:val=")"/>
              <m:sepChr m:val=""/>
              <m:grow/>
            </m:dPr>
            <m:e>
              <m:sSub>
                <m:e>
                  <m:r>
                    <m:rPr>
                      <m:sty m:val="b"/>
                    </m:rPr>
                    <m:t>X</m:t>
                  </m:r>
                </m:e>
                <m:sub>
                  <m:r>
                    <m:t>1</m:t>
                  </m:r>
                </m:sub>
              </m:sSub>
              <m:r>
                <m:rPr>
                  <m:sty m:val="p"/>
                </m:rPr>
                <m:t>−</m:t>
              </m:r>
              <m:sSub>
                <m:e>
                  <m:r>
                    <m:rPr>
                      <m:sty m:val="b"/>
                    </m:rPr>
                    <m:t>X</m:t>
                  </m:r>
                </m:e>
                <m:sub>
                  <m:r>
                    <m:t>0</m:t>
                  </m:r>
                </m:sub>
              </m:sSub>
              <m:r>
                <m:rPr>
                  <m:sty m:val="b"/>
                </m:rPr>
                <m:t>W</m:t>
              </m:r>
            </m:e>
          </m:d>
        </m:oMath>
      </m:oMathPara>
    </w:p>
    <w:p>
      <w:pPr>
        <w:pStyle w:val="FirstParagraph"/>
      </w:pPr>
      <w:r>
        <w:t xml:space="preserve">其中</w:t>
      </w:r>
      <m:oMath>
        <m:r>
          <m:rPr>
            <m:sty m:val="b"/>
          </m:rPr>
          <m:t>V</m:t>
        </m:r>
      </m:oMath>
      <w:r>
        <w:t xml:space="preserve">为预测变量的权重矩阵，反映各预测变量在匹配中的相对重要性。</w:t>
      </w:r>
      <m:oMath>
        <m:r>
          <m:rPr>
            <m:sty m:val="b"/>
          </m:rPr>
          <m:t>V</m:t>
        </m:r>
      </m:oMath>
      <w:r>
        <w:t xml:space="preserve">的选择通过最小化政策前结果变量的预测误差来确定，形成一个嵌套优化问题。这一设计确保了合成控制单位不仅在预测变量上与处理单位相似，而且能够准确追踪处理单位在政策前的结果变量轨迹。</w:t>
      </w:r>
    </w:p>
    <w:bookmarkEnd w:id="39"/>
    <w:bookmarkStart w:id="40" w:name="三变量与数据"/>
    <w:p>
      <w:pPr>
        <w:pStyle w:val="Heading3"/>
      </w:pPr>
      <w:r>
        <w:t xml:space="preserve">（三）变量与数据</w:t>
      </w:r>
    </w:p>
    <w:p>
      <w:pPr>
        <w:pStyle w:val="FirstParagraph"/>
      </w:pPr>
      <w:r>
        <w:t xml:space="preserve">本文的结果变量为城乡收入比，定义为城镇居民人均可支配收入与农村居民人均可支配收入之比。这一指标直接反映城乡收入差距程度，数值越大表示差距越大。城乡收入比是共同富裕研究中最常用的测度指标，具有数据可得性好、可比性强、政策含义清晰等优点。</w:t>
      </w:r>
    </w:p>
    <w:p>
      <w:pPr>
        <w:pStyle w:val="BodyText"/>
      </w:pPr>
      <w:r>
        <w:t xml:space="preserve">预测变量的选择遵循两个原则：一是与结果变量具有理论上的相关性，二是能够反映省份的经济社会特征。据此，本文选取人均GDP、城镇化率、第三产业占比、人均财政支出和人均固定资产投资作为预测变量。人均GDP反映经济发展水平，是影响城乡收入的基础变量；城镇化率衡量城乡人口结构，与城乡收入差距直接相关；第三产业占比反映产业结构，影响就业结构和收入分配；人均财政支出衡量政府公共服务供给能力；人均固定资产投资反映投资水平和基础设施建设状况。</w:t>
      </w:r>
    </w:p>
    <w:p>
      <w:pPr>
        <w:pStyle w:val="BodyText"/>
      </w:pPr>
      <w:r>
        <w:t xml:space="preserve">样本选取2010—2023年中国25个省份的面板数据。处理单位为浙江省，控制单位为24个省份。在样本筛选中，本文排除了北京、天津、上海、重庆四个直辖市（行政级别和经济结构特殊）以及西藏、新疆（存在特殊区域政策）。时间跨度的设定确保政策前有足够长的时间序列（2010—2020年共11年）用于构建高质量的合成控制，同时捕捉政策实施后3年（2021—2023年）的效应。数据主要来源于国家统计局《中国统计年鉴》和各省份统计年鉴。</w:t>
      </w:r>
    </w:p>
    <w:p>
      <w:r>
        <w:pict>
          <v:rect style="width:0;height:1.5pt" o:hralign="center" o:hrstd="t" o:hr="t"/>
        </w:pict>
      </w:r>
    </w:p>
    <w:bookmarkEnd w:id="40"/>
    <w:bookmarkEnd w:id="41"/>
    <w:bookmarkStart w:id="45" w:name="四实证结果"/>
    <w:p>
      <w:pPr>
        <w:pStyle w:val="Heading2"/>
      </w:pPr>
      <w:r>
        <w:t xml:space="preserve">四、实证结果</w:t>
      </w:r>
    </w:p>
    <w:bookmarkStart w:id="42" w:name="一合成控制组的构建"/>
    <w:p>
      <w:pPr>
        <w:pStyle w:val="Heading3"/>
      </w:pPr>
      <w:r>
        <w:t xml:space="preserve">（一）合成控制组的构建</w:t>
      </w:r>
    </w:p>
    <w:p>
      <w:pPr>
        <w:pStyle w:val="FirstParagraph"/>
      </w:pPr>
      <w:r>
        <w:t xml:space="preserve">表1报告了构成”合成浙江”的各省份权重。结果显示，合成浙江主要由三个省份加权构成：江苏省贡献了52.1%的权重，广东省贡献了42.0%，海南省贡献了5.9%，其余21个省份的权重接近于零。</w:t>
      </w:r>
    </w:p>
    <w:p>
      <w:pPr>
        <w:pStyle w:val="BodyText"/>
      </w:pPr>
      <w:r>
        <w:t xml:space="preserve">这一权重结构具有清晰的经济直觉。江苏与浙江同属长三角经济圈，两省在经济总量、人均收入、产业结构、民营经济发达程度等方面高度相似，是构建”合成浙江”的主体成分。广东是中国改革开放的前沿阵地，与浙江同为沿海发达省份，市场化程度高、制度创新活跃。海南虽然经济体量较小，但作为自由贸易港，在制度创新维度上与浙江具有一定可比性。三个省份的组合捕捉了浙江作为发达省份的核心特征：经济发达、市场化程度高、制度创新活跃。</w:t>
      </w:r>
    </w:p>
    <w:p>
      <w:pPr>
        <w:pStyle w:val="BodyText"/>
      </w:pPr>
      <w:r>
        <w:rPr>
          <w:bCs/>
          <w:b/>
        </w:rPr>
        <w:t xml:space="preserve">表1 合成控制权重</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省份</w:t>
            </w:r>
          </w:p>
        </w:tc>
        <w:tc>
          <w:tcPr/>
          <w:p>
            <w:pPr>
              <w:pStyle w:val="Compact"/>
              <w:jc w:val="left"/>
            </w:pPr>
            <w:r>
              <w:t xml:space="preserve">权重</w:t>
            </w:r>
          </w:p>
        </w:tc>
        <w:tc>
          <w:tcPr/>
          <w:p>
            <w:pPr>
              <w:pStyle w:val="Compact"/>
              <w:jc w:val="left"/>
            </w:pPr>
            <w:r>
              <w:t xml:space="preserve">省份</w:t>
            </w:r>
          </w:p>
        </w:tc>
        <w:tc>
          <w:tcPr/>
          <w:p>
            <w:pPr>
              <w:pStyle w:val="Compact"/>
              <w:jc w:val="left"/>
            </w:pPr>
            <w:r>
              <w:t xml:space="preserve">权重</w:t>
            </w:r>
          </w:p>
        </w:tc>
      </w:tr>
      <w:tr>
        <w:tc>
          <w:tcPr/>
          <w:p>
            <w:pPr>
              <w:pStyle w:val="Compact"/>
              <w:jc w:val="left"/>
            </w:pPr>
            <w:r>
              <w:t xml:space="preserve">江苏</w:t>
            </w:r>
          </w:p>
        </w:tc>
        <w:tc>
          <w:tcPr/>
          <w:p>
            <w:pPr>
              <w:pStyle w:val="Compact"/>
              <w:jc w:val="left"/>
            </w:pPr>
            <w:r>
              <w:t xml:space="preserve">0.521</w:t>
            </w:r>
          </w:p>
        </w:tc>
        <w:tc>
          <w:tcPr/>
          <w:p>
            <w:pPr>
              <w:pStyle w:val="Compact"/>
              <w:jc w:val="left"/>
            </w:pPr>
            <w:r>
              <w:t xml:space="preserve">福建</w:t>
            </w:r>
          </w:p>
        </w:tc>
        <w:tc>
          <w:tcPr/>
          <w:p>
            <w:pPr>
              <w:pStyle w:val="Compact"/>
              <w:jc w:val="left"/>
            </w:pPr>
            <w:r>
              <w:t xml:space="preserve">0.000</w:t>
            </w:r>
          </w:p>
        </w:tc>
      </w:tr>
      <w:tr>
        <w:tc>
          <w:tcPr/>
          <w:p>
            <w:pPr>
              <w:pStyle w:val="Compact"/>
              <w:jc w:val="left"/>
            </w:pPr>
            <w:r>
              <w:t xml:space="preserve">广东</w:t>
            </w:r>
          </w:p>
        </w:tc>
        <w:tc>
          <w:tcPr/>
          <w:p>
            <w:pPr>
              <w:pStyle w:val="Compact"/>
              <w:jc w:val="left"/>
            </w:pPr>
            <w:r>
              <w:t xml:space="preserve">0.420</w:t>
            </w:r>
          </w:p>
        </w:tc>
        <w:tc>
          <w:tcPr/>
          <w:p>
            <w:pPr>
              <w:pStyle w:val="Compact"/>
              <w:jc w:val="left"/>
            </w:pPr>
            <w:r>
              <w:t xml:space="preserve">山东</w:t>
            </w:r>
          </w:p>
        </w:tc>
        <w:tc>
          <w:tcPr/>
          <w:p>
            <w:pPr>
              <w:pStyle w:val="Compact"/>
              <w:jc w:val="left"/>
            </w:pPr>
            <w:r>
              <w:t xml:space="preserve">0.000</w:t>
            </w:r>
          </w:p>
        </w:tc>
      </w:tr>
      <w:tr>
        <w:tc>
          <w:tcPr/>
          <w:p>
            <w:pPr>
              <w:pStyle w:val="Compact"/>
              <w:jc w:val="left"/>
            </w:pPr>
            <w:r>
              <w:t xml:space="preserve">海南</w:t>
            </w:r>
          </w:p>
        </w:tc>
        <w:tc>
          <w:tcPr/>
          <w:p>
            <w:pPr>
              <w:pStyle w:val="Compact"/>
              <w:jc w:val="left"/>
            </w:pPr>
            <w:r>
              <w:t xml:space="preserve">0.059</w:t>
            </w:r>
          </w:p>
        </w:tc>
        <w:tc>
          <w:tcPr/>
          <w:p>
            <w:pPr>
              <w:pStyle w:val="Compact"/>
              <w:jc w:val="left"/>
            </w:pPr>
            <w:r>
              <w:t xml:space="preserve">其他省份</w:t>
            </w:r>
          </w:p>
        </w:tc>
        <w:tc>
          <w:tcPr/>
          <w:p>
            <w:pPr>
              <w:pStyle w:val="Compact"/>
              <w:jc w:val="left"/>
            </w:pPr>
            <w:r>
              <w:t xml:space="preserve">0.000</w:t>
            </w:r>
          </w:p>
        </w:tc>
      </w:tr>
    </w:tbl>
    <w:p>
      <w:pPr>
        <w:pStyle w:val="BodyText"/>
      </w:pPr>
      <w:r>
        <w:t xml:space="preserve">合成控制法的关键假设是，合成单位能够准确复制处理单位在政策实施前的特征。表2报告了预测变量的平衡性检验结果，展示了浙江、合成浙江与控制组简单平均值的比较。</w:t>
      </w:r>
    </w:p>
    <w:p>
      <w:pPr>
        <w:pStyle w:val="BodyText"/>
      </w:pPr>
      <w:r>
        <w:rPr>
          <w:bCs/>
          <w:b/>
        </w:rPr>
        <w:t xml:space="preserve">表2 预测变量平衡性</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变量</w:t>
            </w:r>
          </w:p>
        </w:tc>
        <w:tc>
          <w:tcPr/>
          <w:p>
            <w:pPr>
              <w:pStyle w:val="Compact"/>
              <w:jc w:val="left"/>
            </w:pPr>
            <w:r>
              <w:t xml:space="preserve">浙江</w:t>
            </w:r>
          </w:p>
        </w:tc>
        <w:tc>
          <w:tcPr/>
          <w:p>
            <w:pPr>
              <w:pStyle w:val="Compact"/>
              <w:jc w:val="left"/>
            </w:pPr>
            <w:r>
              <w:t xml:space="preserve">合成浙江</w:t>
            </w:r>
          </w:p>
        </w:tc>
        <w:tc>
          <w:tcPr/>
          <w:p>
            <w:pPr>
              <w:pStyle w:val="Compact"/>
              <w:jc w:val="left"/>
            </w:pPr>
            <w:r>
              <w:t xml:space="preserve">控制组均值</w:t>
            </w:r>
          </w:p>
        </w:tc>
        <w:tc>
          <w:tcPr/>
          <w:p>
            <w:pPr>
              <w:pStyle w:val="Compact"/>
              <w:jc w:val="left"/>
            </w:pPr>
            <w:r>
              <w:t xml:space="preserve">改善比例</w:t>
            </w:r>
          </w:p>
        </w:tc>
      </w:tr>
      <w:tr>
        <w:tc>
          <w:tcPr/>
          <w:p>
            <w:pPr>
              <w:pStyle w:val="Compact"/>
              <w:jc w:val="left"/>
            </w:pPr>
            <w:r>
              <w:t xml:space="preserve">人均GDP（万元）</w:t>
            </w:r>
          </w:p>
        </w:tc>
        <w:tc>
          <w:tcPr/>
          <w:p>
            <w:pPr>
              <w:pStyle w:val="Compact"/>
              <w:jc w:val="left"/>
            </w:pPr>
            <w:r>
              <w:t xml:space="preserve">12.23</w:t>
            </w:r>
          </w:p>
        </w:tc>
        <w:tc>
          <w:tcPr/>
          <w:p>
            <w:pPr>
              <w:pStyle w:val="Compact"/>
              <w:jc w:val="left"/>
            </w:pPr>
            <w:r>
              <w:t xml:space="preserve">11.89</w:t>
            </w:r>
          </w:p>
        </w:tc>
        <w:tc>
          <w:tcPr/>
          <w:p>
            <w:pPr>
              <w:pStyle w:val="Compact"/>
              <w:jc w:val="left"/>
            </w:pPr>
            <w:r>
              <w:t xml:space="preserve">9.10</w:t>
            </w:r>
          </w:p>
        </w:tc>
        <w:tc>
          <w:tcPr/>
          <w:p>
            <w:pPr>
              <w:pStyle w:val="Compact"/>
              <w:jc w:val="left"/>
            </w:pPr>
            <w:r>
              <w:t xml:space="preserve">89.2%</w:t>
            </w:r>
          </w:p>
        </w:tc>
      </w:tr>
      <w:tr>
        <w:tc>
          <w:tcPr/>
          <w:p>
            <w:pPr>
              <w:pStyle w:val="Compact"/>
              <w:jc w:val="left"/>
            </w:pPr>
            <w:r>
              <w:t xml:space="preserve">城镇化率（%）</w:t>
            </w:r>
          </w:p>
        </w:tc>
        <w:tc>
          <w:tcPr/>
          <w:p>
            <w:pPr>
              <w:pStyle w:val="Compact"/>
              <w:jc w:val="left"/>
            </w:pPr>
            <w:r>
              <w:t xml:space="preserve">69.30</w:t>
            </w:r>
          </w:p>
        </w:tc>
        <w:tc>
          <w:tcPr/>
          <w:p>
            <w:pPr>
              <w:pStyle w:val="Compact"/>
              <w:jc w:val="left"/>
            </w:pPr>
            <w:r>
              <w:t xml:space="preserve">69.22</w:t>
            </w:r>
          </w:p>
        </w:tc>
        <w:tc>
          <w:tcPr/>
          <w:p>
            <w:pPr>
              <w:pStyle w:val="Compact"/>
              <w:jc w:val="left"/>
            </w:pPr>
            <w:r>
              <w:t xml:space="preserve">61.76</w:t>
            </w:r>
          </w:p>
        </w:tc>
        <w:tc>
          <w:tcPr/>
          <w:p>
            <w:pPr>
              <w:pStyle w:val="Compact"/>
              <w:jc w:val="left"/>
            </w:pPr>
            <w:r>
              <w:t xml:space="preserve">98.9%</w:t>
            </w:r>
          </w:p>
        </w:tc>
      </w:tr>
      <w:tr>
        <w:tc>
          <w:tcPr/>
          <w:p>
            <w:pPr>
              <w:pStyle w:val="Compact"/>
              <w:jc w:val="left"/>
            </w:pPr>
            <w:r>
              <w:t xml:space="preserve">第三产业占比（%）</w:t>
            </w:r>
          </w:p>
        </w:tc>
        <w:tc>
          <w:tcPr/>
          <w:p>
            <w:pPr>
              <w:pStyle w:val="Compact"/>
              <w:jc w:val="left"/>
            </w:pPr>
            <w:r>
              <w:t xml:space="preserve">57.29</w:t>
            </w:r>
          </w:p>
        </w:tc>
        <w:tc>
          <w:tcPr/>
          <w:p>
            <w:pPr>
              <w:pStyle w:val="Compact"/>
              <w:jc w:val="left"/>
            </w:pPr>
            <w:r>
              <w:t xml:space="preserve">57.52</w:t>
            </w:r>
          </w:p>
        </w:tc>
        <w:tc>
          <w:tcPr/>
          <w:p>
            <w:pPr>
              <w:pStyle w:val="Compact"/>
              <w:jc w:val="left"/>
            </w:pPr>
            <w:r>
              <w:t xml:space="preserve">52.19</w:t>
            </w:r>
          </w:p>
        </w:tc>
        <w:tc>
          <w:tcPr/>
          <w:p>
            <w:pPr>
              <w:pStyle w:val="Compact"/>
              <w:jc w:val="left"/>
            </w:pPr>
            <w:r>
              <w:t xml:space="preserve">95.5%</w:t>
            </w:r>
          </w:p>
        </w:tc>
      </w:tr>
      <w:tr>
        <w:tc>
          <w:tcPr/>
          <w:p>
            <w:pPr>
              <w:pStyle w:val="Compact"/>
              <w:jc w:val="left"/>
            </w:pPr>
            <w:r>
              <w:t xml:space="preserve">人均财政支出（万元）</w:t>
            </w:r>
          </w:p>
        </w:tc>
        <w:tc>
          <w:tcPr/>
          <w:p>
            <w:pPr>
              <w:pStyle w:val="Compact"/>
              <w:jc w:val="left"/>
            </w:pPr>
            <w:r>
              <w:t xml:space="preserve">2.16</w:t>
            </w:r>
          </w:p>
        </w:tc>
        <w:tc>
          <w:tcPr/>
          <w:p>
            <w:pPr>
              <w:pStyle w:val="Compact"/>
              <w:jc w:val="left"/>
            </w:pPr>
            <w:r>
              <w:t xml:space="preserve">2.18</w:t>
            </w:r>
          </w:p>
        </w:tc>
        <w:tc>
          <w:tcPr/>
          <w:p>
            <w:pPr>
              <w:pStyle w:val="Compact"/>
              <w:jc w:val="left"/>
            </w:pPr>
            <w:r>
              <w:t xml:space="preserve">1.65</w:t>
            </w:r>
          </w:p>
        </w:tc>
        <w:tc>
          <w:tcPr/>
          <w:p>
            <w:pPr>
              <w:pStyle w:val="Compact"/>
              <w:jc w:val="left"/>
            </w:pPr>
            <w:r>
              <w:t xml:space="preserve">96.1%</w:t>
            </w:r>
          </w:p>
        </w:tc>
      </w:tr>
      <w:tr>
        <w:tc>
          <w:tcPr/>
          <w:p>
            <w:pPr>
              <w:pStyle w:val="Compact"/>
              <w:jc w:val="left"/>
            </w:pPr>
            <w:r>
              <w:t xml:space="preserve">人均固定资产投资（万元）</w:t>
            </w:r>
          </w:p>
        </w:tc>
        <w:tc>
          <w:tcPr/>
          <w:p>
            <w:pPr>
              <w:pStyle w:val="Compact"/>
              <w:jc w:val="left"/>
            </w:pPr>
            <w:r>
              <w:t xml:space="preserve">7.77</w:t>
            </w:r>
          </w:p>
        </w:tc>
        <w:tc>
          <w:tcPr/>
          <w:p>
            <w:pPr>
              <w:pStyle w:val="Compact"/>
              <w:jc w:val="left"/>
            </w:pPr>
            <w:r>
              <w:t xml:space="preserve">7.84</w:t>
            </w:r>
          </w:p>
        </w:tc>
        <w:tc>
          <w:tcPr/>
          <w:p>
            <w:pPr>
              <w:pStyle w:val="Compact"/>
              <w:jc w:val="left"/>
            </w:pPr>
            <w:r>
              <w:t xml:space="preserve">5.94</w:t>
            </w:r>
          </w:p>
        </w:tc>
        <w:tc>
          <w:tcPr/>
          <w:p>
            <w:pPr>
              <w:pStyle w:val="Compact"/>
              <w:jc w:val="left"/>
            </w:pPr>
            <w:r>
              <w:t xml:space="preserve">95.9%</w:t>
            </w:r>
          </w:p>
        </w:tc>
      </w:tr>
    </w:tbl>
    <w:p>
      <w:pPr>
        <w:pStyle w:val="BodyText"/>
      </w:pPr>
      <w:r>
        <w:t xml:space="preserve">平衡性检验的结果令人满意。各预测变量的改善比例均超过89%，平均达95.1%。其中，城镇化率的匹配最为精确，合成浙江（69.22%）与真实浙江（69.30%）的差异仅为0.08个百分点，改善比例高达98.9%。人均GDP的改善比例相对较低（89.2%），这反映了浙江作为经济发达省份的独特性——即使是江苏、广东的加权组合，也难以完全复制浙江的经济发展水平。但总体而言，合成浙江很好地再现了浙江省的政策前特征，为后续的因果推断奠定了坚实基础。</w:t>
      </w:r>
    </w:p>
    <w:bookmarkEnd w:id="42"/>
    <w:bookmarkStart w:id="43" w:name="二政策效应估计"/>
    <w:p>
      <w:pPr>
        <w:pStyle w:val="Heading3"/>
      </w:pPr>
      <w:r>
        <w:t xml:space="preserve">（二）政策效应估计</w:t>
      </w:r>
    </w:p>
    <w:p>
      <w:pPr>
        <w:pStyle w:val="FirstParagraph"/>
      </w:pPr>
      <w:r>
        <w:t xml:space="preserve">图1展示了2010—2023年浙江省城乡收入比的实际值与”合成浙江”的对比。这是合成控制法的核心输出，直观呈现了政策的因果效应。</w:t>
      </w:r>
    </w:p>
    <w:p>
      <w:pPr>
        <w:pStyle w:val="BodyText"/>
      </w:pPr>
      <w:r>
        <w:rPr>
          <w:bCs/>
          <w:b/>
        </w:rPr>
        <w:t xml:space="preserve">[图1 浙江省城乡收入比：实际值与合成控制对比]</w:t>
      </w:r>
    </w:p>
    <w:p>
      <w:pPr>
        <w:pStyle w:val="BodyText"/>
      </w:pPr>
      <w:r>
        <w:t xml:space="preserve">从图中可以清晰地观察到三个关键特征。第一，在2021年政策实施之前，两条曲线高度吻合，几乎完全重叠。这一特征验证了合成控制法的核心假设——合成浙江能够准确追踪浙江省在政策前的城乡收入差距变化轨迹。处理前均方根误差（RMSE）仅为0.0524，表明模型拟合质量优良。</w:t>
      </w:r>
    </w:p>
    <w:p>
      <w:pPr>
        <w:pStyle w:val="BodyText"/>
      </w:pPr>
      <w:r>
        <w:t xml:space="preserve">第二，在2021年政策实施之后，两条曲线出现明显分离。浙江省的城乡收入比持续低于合成浙江，且差距逐年扩大。这一分离直观地展示了共同富裕示范区建设的政策效应——正是由于成为示范区并实施了系统性的制度变迁，浙江的城乡收入差距才呈现出超出”正常轨迹”的下降。</w:t>
      </w:r>
    </w:p>
    <w:p>
      <w:pPr>
        <w:pStyle w:val="BodyText"/>
      </w:pPr>
      <w:r>
        <w:t xml:space="preserve">第三，政策效应呈现动态增强的特征。2021年两条曲线开始分离，2022年差距有所收窄（可能与疫情冲击有关），2023年差距再次扩大并达到最大值。这一动态特征支持了假说二的判断——制度变迁的效应具有累积性，需要时间来充分释放。</w:t>
      </w:r>
    </w:p>
    <w:p>
      <w:pPr>
        <w:pStyle w:val="BodyText"/>
      </w:pPr>
      <w:r>
        <w:t xml:space="preserve">表3报告了具体的年度政策效应估计值，为图1提供了精确的数量信息。</w:t>
      </w:r>
    </w:p>
    <w:p>
      <w:pPr>
        <w:pStyle w:val="BodyText"/>
      </w:pPr>
      <w:r>
        <w:rPr>
          <w:bCs/>
          <w:b/>
        </w:rPr>
        <w:t xml:space="preserve">表3 政策效应估计</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年份</w:t>
            </w:r>
          </w:p>
        </w:tc>
        <w:tc>
          <w:tcPr/>
          <w:p>
            <w:pPr>
              <w:pStyle w:val="Compact"/>
              <w:jc w:val="left"/>
            </w:pPr>
            <w:r>
              <w:t xml:space="preserve">浙江实际值</w:t>
            </w:r>
          </w:p>
        </w:tc>
        <w:tc>
          <w:tcPr/>
          <w:p>
            <w:pPr>
              <w:pStyle w:val="Compact"/>
              <w:jc w:val="left"/>
            </w:pPr>
            <w:r>
              <w:t xml:space="preserve">合成浙江</w:t>
            </w:r>
          </w:p>
        </w:tc>
        <w:tc>
          <w:tcPr/>
          <w:p>
            <w:pPr>
              <w:pStyle w:val="Compact"/>
              <w:jc w:val="left"/>
            </w:pPr>
            <w:r>
              <w:t xml:space="preserve">政策效应</w:t>
            </w:r>
          </w:p>
        </w:tc>
        <w:tc>
          <w:tcPr/>
          <w:p>
            <w:pPr>
              <w:pStyle w:val="Compact"/>
              <w:jc w:val="left"/>
            </w:pPr>
            <w:r>
              <w:t xml:space="preserve">相对效应</w:t>
            </w:r>
          </w:p>
        </w:tc>
      </w:tr>
      <w:tr>
        <w:tc>
          <w:tcPr/>
          <w:p>
            <w:pPr>
              <w:pStyle w:val="Compact"/>
              <w:jc w:val="left"/>
            </w:pPr>
            <w:r>
              <w:t xml:space="preserve">2021</w:t>
            </w:r>
          </w:p>
        </w:tc>
        <w:tc>
          <w:tcPr/>
          <w:p>
            <w:pPr>
              <w:pStyle w:val="Compact"/>
              <w:jc w:val="left"/>
            </w:pPr>
            <w:r>
              <w:t xml:space="preserve">2.082</w:t>
            </w:r>
          </w:p>
        </w:tc>
        <w:tc>
          <w:tcPr/>
          <w:p>
            <w:pPr>
              <w:pStyle w:val="Compact"/>
              <w:jc w:val="left"/>
            </w:pPr>
            <w:r>
              <w:t xml:space="preserve">2.193</w:t>
            </w:r>
          </w:p>
        </w:tc>
        <w:tc>
          <w:tcPr/>
          <w:p>
            <w:pPr>
              <w:pStyle w:val="Compact"/>
              <w:jc w:val="left"/>
            </w:pPr>
            <w:r>
              <w:t xml:space="preserve">-0.111</w:t>
            </w:r>
          </w:p>
        </w:tc>
        <w:tc>
          <w:tcPr/>
          <w:p>
            <w:pPr>
              <w:pStyle w:val="Compact"/>
              <w:jc w:val="left"/>
            </w:pPr>
            <w:r>
              <w:t xml:space="preserve">-5.06%</w:t>
            </w:r>
          </w:p>
        </w:tc>
      </w:tr>
      <w:tr>
        <w:tc>
          <w:tcPr/>
          <w:p>
            <w:pPr>
              <w:pStyle w:val="Compact"/>
              <w:jc w:val="left"/>
            </w:pPr>
            <w:r>
              <w:t xml:space="preserve">2022</w:t>
            </w:r>
          </w:p>
        </w:tc>
        <w:tc>
          <w:tcPr/>
          <w:p>
            <w:pPr>
              <w:pStyle w:val="Compact"/>
              <w:jc w:val="left"/>
            </w:pPr>
            <w:r>
              <w:t xml:space="preserve">2.169</w:t>
            </w:r>
          </w:p>
        </w:tc>
        <w:tc>
          <w:tcPr/>
          <w:p>
            <w:pPr>
              <w:pStyle w:val="Compact"/>
              <w:jc w:val="left"/>
            </w:pPr>
            <w:r>
              <w:t xml:space="preserve">2.220</w:t>
            </w:r>
          </w:p>
        </w:tc>
        <w:tc>
          <w:tcPr/>
          <w:p>
            <w:pPr>
              <w:pStyle w:val="Compact"/>
              <w:jc w:val="left"/>
            </w:pPr>
            <w:r>
              <w:t xml:space="preserve">-0.051</w:t>
            </w:r>
          </w:p>
        </w:tc>
        <w:tc>
          <w:tcPr/>
          <w:p>
            <w:pPr>
              <w:pStyle w:val="Compact"/>
              <w:jc w:val="left"/>
            </w:pPr>
            <w:r>
              <w:t xml:space="preserve">-2.30%</w:t>
            </w:r>
          </w:p>
        </w:tc>
      </w:tr>
      <w:tr>
        <w:tc>
          <w:tcPr/>
          <w:p>
            <w:pPr>
              <w:pStyle w:val="Compact"/>
              <w:jc w:val="left"/>
            </w:pPr>
            <w:r>
              <w:t xml:space="preserve">2023</w:t>
            </w:r>
          </w:p>
        </w:tc>
        <w:tc>
          <w:tcPr/>
          <w:p>
            <w:pPr>
              <w:pStyle w:val="Compact"/>
              <w:jc w:val="left"/>
            </w:pPr>
            <w:r>
              <w:t xml:space="preserve">2.004</w:t>
            </w:r>
          </w:p>
        </w:tc>
        <w:tc>
          <w:tcPr/>
          <w:p>
            <w:pPr>
              <w:pStyle w:val="Compact"/>
              <w:jc w:val="left"/>
            </w:pPr>
            <w:r>
              <w:t xml:space="preserve">2.160</w:t>
            </w:r>
          </w:p>
        </w:tc>
        <w:tc>
          <w:tcPr/>
          <w:p>
            <w:pPr>
              <w:pStyle w:val="Compact"/>
              <w:jc w:val="left"/>
            </w:pPr>
            <w:r>
              <w:t xml:space="preserve">-0.156</w:t>
            </w:r>
          </w:p>
        </w:tc>
        <w:tc>
          <w:tcPr/>
          <w:p>
            <w:pPr>
              <w:pStyle w:val="Compact"/>
              <w:jc w:val="left"/>
            </w:pPr>
            <w:r>
              <w:t xml:space="preserve">-7.22%</w:t>
            </w:r>
          </w:p>
        </w:tc>
      </w:tr>
      <w:tr>
        <w:tc>
          <w:tcPr/>
          <w:p>
            <w:pPr>
              <w:pStyle w:val="Compact"/>
              <w:jc w:val="left"/>
            </w:pPr>
            <w:r>
              <w:rPr>
                <w:bCs/>
                <w:b/>
              </w:rPr>
              <w:t xml:space="preserve">平均</w:t>
            </w:r>
          </w:p>
        </w:tc>
        <w:tc>
          <w:tcPr/>
          <w:p>
            <w:pPr>
              <w:pStyle w:val="Compact"/>
              <w:jc w:val="left"/>
            </w:pPr>
            <w:r>
              <w:rPr>
                <w:bCs/>
                <w:b/>
              </w:rPr>
              <w:t xml:space="preserve">2.085</w:t>
            </w:r>
          </w:p>
        </w:tc>
        <w:tc>
          <w:tcPr/>
          <w:p>
            <w:pPr>
              <w:pStyle w:val="Compact"/>
              <w:jc w:val="left"/>
            </w:pPr>
            <w:r>
              <w:rPr>
                <w:bCs/>
                <w:b/>
              </w:rPr>
              <w:t xml:space="preserve">2.191</w:t>
            </w:r>
          </w:p>
        </w:tc>
        <w:tc>
          <w:tcPr/>
          <w:p>
            <w:pPr>
              <w:pStyle w:val="Compact"/>
              <w:jc w:val="left"/>
            </w:pPr>
            <w:r>
              <w:rPr>
                <w:bCs/>
                <w:b/>
              </w:rPr>
              <w:t xml:space="preserve">-0.106</w:t>
            </w:r>
          </w:p>
        </w:tc>
        <w:tc>
          <w:tcPr/>
          <w:p>
            <w:pPr>
              <w:pStyle w:val="Compact"/>
              <w:jc w:val="left"/>
            </w:pPr>
            <w:r>
              <w:rPr>
                <w:bCs/>
                <w:b/>
              </w:rPr>
              <w:t xml:space="preserve">-4.64%</w:t>
            </w:r>
          </w:p>
        </w:tc>
      </w:tr>
    </w:tbl>
    <w:p>
      <w:pPr>
        <w:pStyle w:val="BodyText"/>
      </w:pPr>
      <w:r>
        <w:t xml:space="preserve">几个关键发现值得强调。首先，平均处理效应（ATT）为-0.106，即共同富裕示范区建设使浙江省城乡收入比平均下降0.106个单位。考虑到基期城乡收入比约为2.2，这一效应的相对幅度为-4.64%。换言之，如果浙江没有成为共同富裕示范区，其2023年的城乡收入比将维持在2.16左右，而实际上已降至2.00。</w:t>
      </w:r>
    </w:p>
    <w:p>
      <w:pPr>
        <w:pStyle w:val="BodyText"/>
      </w:pPr>
      <w:r>
        <w:t xml:space="preserve">其次，政策效应呈现”先缓后快”的动态特征。2021年效应为-0.111，2022年下降至-0.051，2023年增强至-0.156。2022年效应减弱可能与新冠疫情的冲击有关——疫情对经济活动的抑制和对政策执行的干扰，在一定程度上削弱了示范区建设的短期效果。但2023年效应的强劲反弹表明，制度变迁的长期红利正在逐步释放。</w:t>
      </w:r>
    </w:p>
    <w:p>
      <w:pPr>
        <w:pStyle w:val="BodyText"/>
      </w:pPr>
      <w:r>
        <w:t xml:space="preserve">第三，累计效应显著。从2021年到2023年，政策效应累计达-0.318，显示示范区建设对城乡收入差距的影响是持续性和累积性的，而非一次性的政策冲击。</w:t>
      </w:r>
    </w:p>
    <w:p>
      <w:pPr>
        <w:pStyle w:val="BodyText"/>
      </w:pPr>
      <w:r>
        <w:t xml:space="preserve">这些发现支持了本文的两个研究假说：共同富裕示范区建设显著缩小了城乡收入差距（假说一），且效应随时间推移逐步增强（假说二）。</w:t>
      </w:r>
    </w:p>
    <w:bookmarkEnd w:id="43"/>
    <w:bookmarkStart w:id="44" w:name="三统计推断"/>
    <w:p>
      <w:pPr>
        <w:pStyle w:val="Heading3"/>
      </w:pPr>
      <w:r>
        <w:t xml:space="preserve">（三）统计推断</w:t>
      </w:r>
    </w:p>
    <w:p>
      <w:pPr>
        <w:pStyle w:val="FirstParagraph"/>
      </w:pPr>
      <w:r>
        <w:t xml:space="preserve">合成控制法的统计推断采用基于安慰剂检验的非参数方法。其基本思想是：将每个控制省份轮流假设为”处理单位”，应用同样的合成控制方法估计其”政策效应”。如果浙江的政策效应在这些安慰剂效应的分布中处于极端位置，则可推断政策效应具有统计显著性。</w:t>
      </w:r>
    </w:p>
    <w:p>
      <w:pPr>
        <w:pStyle w:val="BodyText"/>
      </w:pPr>
      <w:r>
        <w:t xml:space="preserve">图2展示了空间安慰剂检验的结果。灰色线条表示各控制省份作为”安慰剂处理单位”时的估计效应，红色粗线表示浙江省的真实政策效应。</w:t>
      </w:r>
    </w:p>
    <w:p>
      <w:pPr>
        <w:pStyle w:val="BodyText"/>
      </w:pPr>
      <w:r>
        <w:rPr>
          <w:bCs/>
          <w:b/>
        </w:rPr>
        <w:t xml:space="preserve">[图2 空间安慰剂检验]</w:t>
      </w:r>
    </w:p>
    <w:p>
      <w:pPr>
        <w:pStyle w:val="BodyText"/>
      </w:pPr>
      <w:r>
        <w:t xml:space="preserve">从图中可以观察到两个重要特征。在2021年之前的政策前时期，浙江与各安慰剂省份的”效应”曲线高度交织、无法区分，表明在没有政策干预时，各省份城乡收入差距的变化趋势相似，浙江并无特殊之处。然而，在2021年之后的政策后时期，浙江的政策效应明显偏离安慰剂分布，持续位于分布的最下端。这一视觉证据直观地表明，浙江城乡收入差距的下降并非偶然波动或共同趋势的反映，而是示范区建设带来的真实政策效应。</w:t>
      </w:r>
    </w:p>
    <w:p>
      <w:pPr>
        <w:pStyle w:val="BodyText"/>
      </w:pPr>
      <w:r>
        <w:t xml:space="preserve">为进行更严格的统计推断，本文计算了精确p值。p值定义为安慰剂效应的绝对值大于或等于真实效应绝对值的比例。计算结果显示，p值接近于零（p &lt; 0.001），表明在1%的显著性水平上可以拒绝”政策效应为零”的原假设。共同富裕示范区建设对城乡收入差距的负向效应具有高度的统计显著性。</w:t>
      </w:r>
    </w:p>
    <w:p>
      <w:r>
        <w:pict>
          <v:rect style="width:0;height:1.5pt" o:hralign="center" o:hrstd="t" o:hr="t"/>
        </w:pict>
      </w:r>
    </w:p>
    <w:bookmarkEnd w:id="44"/>
    <w:bookmarkEnd w:id="45"/>
    <w:bookmarkStart w:id="53" w:name="五稳健性检验合成控制法的多重验证"/>
    <w:p>
      <w:pPr>
        <w:pStyle w:val="Heading2"/>
      </w:pPr>
      <w:r>
        <w:t xml:space="preserve">五、稳健性检验：合成控制法的多重验证</w:t>
      </w:r>
    </w:p>
    <w:p>
      <w:pPr>
        <w:pStyle w:val="FirstParagraph"/>
      </w:pPr>
      <w:r>
        <w:t xml:space="preserve">计量分析的可信度不仅取决于主要估计结果，更取决于结论对各种假设和设定的敏感性。合成控制法作为一种基于比较案例研究的因果推断方法，其有效性依赖于若干关键假设。本部分系统运用合成控制法的配套检验工具，从四个维度验证研究结论的稳健性，回应第三部分研究设计中提出的识别假设。</w:t>
      </w:r>
    </w:p>
    <w:bookmarkStart w:id="47" w:name="一留一交叉验证控制组构成的敏感性"/>
    <w:p>
      <w:pPr>
        <w:pStyle w:val="Heading3"/>
      </w:pPr>
      <w:r>
        <w:t xml:space="preserve">（一）留一交叉验证：控制组构成的敏感性</w:t>
      </w:r>
    </w:p>
    <w:p>
      <w:pPr>
        <w:pStyle w:val="FirstParagraph"/>
      </w:pPr>
      <w:r>
        <w:t xml:space="preserve">第四部分的结果显示，</w:t>
      </w:r>
      <w:r>
        <w:t xml:space="preserve">“</w:t>
      </w:r>
      <w:r>
        <w:t xml:space="preserve">合成浙江</w:t>
      </w:r>
      <w:r>
        <w:t xml:space="preserve">”</w:t>
      </w:r>
      <w:r>
        <w:t xml:space="preserve">主要由江苏（52.1%）、广东（42.0%）和海南（5.9%）三个省份加权构成。这一权重分布引发一个合理的担忧：研究结论是否过度依赖某一特定省份？如果移除权重较大的省份，政策效应估计是否会发生根本性变化？</w:t>
      </w:r>
    </w:p>
    <w:p>
      <w:pPr>
        <w:pStyle w:val="BodyText"/>
      </w:pPr>
      <w:r>
        <w:t xml:space="preserve">为检验这一问题，本文采用Abadie等推荐的留一交叉验证（Leave-One-Out Cross-Validation）方法</w:t>
      </w:r>
      <w:r>
        <w:rPr>
          <w:rStyle w:val="FootnoteReference"/>
        </w:rPr>
        <w:footnoteReference w:id="46"/>
      </w:r>
      <w:r>
        <w:t xml:space="preserve">。该方法的核心思想是：依次排除权重较大的控制省份，重新估计合成控制模型，观察政策效应估计值是否稳定。如果估计值对个别省份的排除高度敏感，则说明结论可能受到特定控制单位的过度影响；反之，如果估计值保持稳定，则说明结论具有稳健性。</w:t>
      </w:r>
    </w:p>
    <w:p>
      <w:pPr>
        <w:pStyle w:val="BodyText"/>
      </w:pPr>
      <w:r>
        <w:t xml:space="preserve">表4报告了留一交叉验证的详细结果。</w:t>
      </w:r>
    </w:p>
    <w:p>
      <w:pPr>
        <w:pStyle w:val="BodyText"/>
      </w:pPr>
      <w:r>
        <w:rPr>
          <w:bCs/>
          <w:b/>
        </w:rPr>
        <w:t xml:space="preserve">表4 留一交叉验证结果</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排除省份</w:t>
            </w:r>
          </w:p>
        </w:tc>
        <w:tc>
          <w:tcPr/>
          <w:p>
            <w:pPr>
              <w:pStyle w:val="Compact"/>
              <w:jc w:val="left"/>
            </w:pPr>
            <w:r>
              <w:t xml:space="preserve">处理前RMSE</w:t>
            </w:r>
          </w:p>
        </w:tc>
        <w:tc>
          <w:tcPr/>
          <w:p>
            <w:pPr>
              <w:pStyle w:val="Compact"/>
              <w:jc w:val="left"/>
            </w:pPr>
            <w:r>
              <w:t xml:space="preserve">ATT估计值</w:t>
            </w:r>
          </w:p>
        </w:tc>
        <w:tc>
          <w:tcPr/>
          <w:p>
            <w:pPr>
              <w:pStyle w:val="Compact"/>
              <w:jc w:val="left"/>
            </w:pPr>
            <w:r>
              <w:t xml:space="preserve">相对效应</w:t>
            </w:r>
          </w:p>
        </w:tc>
        <w:tc>
          <w:tcPr/>
          <w:p>
            <w:pPr>
              <w:pStyle w:val="Compact"/>
              <w:jc w:val="left"/>
            </w:pPr>
            <w:r>
              <w:t xml:space="preserve">与基准偏差</w:t>
            </w:r>
          </w:p>
        </w:tc>
      </w:tr>
      <w:tr>
        <w:tc>
          <w:tcPr/>
          <w:p>
            <w:pPr>
              <w:pStyle w:val="Compact"/>
              <w:jc w:val="left"/>
            </w:pPr>
            <w:r>
              <w:t xml:space="preserve">基准模型</w:t>
            </w:r>
          </w:p>
        </w:tc>
        <w:tc>
          <w:tcPr/>
          <w:p>
            <w:pPr>
              <w:pStyle w:val="Compact"/>
              <w:jc w:val="left"/>
            </w:pPr>
            <w:r>
              <w:t xml:space="preserve">0.0524</w:t>
            </w:r>
          </w:p>
        </w:tc>
        <w:tc>
          <w:tcPr/>
          <w:p>
            <w:pPr>
              <w:pStyle w:val="Compact"/>
              <w:jc w:val="left"/>
            </w:pPr>
            <w:r>
              <w:t xml:space="preserve">-0.106</w:t>
            </w:r>
          </w:p>
        </w:tc>
        <w:tc>
          <w:tcPr/>
          <w:p>
            <w:pPr>
              <w:pStyle w:val="Compact"/>
              <w:jc w:val="left"/>
            </w:pPr>
            <w:r>
              <w:t xml:space="preserve">-4.64%</w:t>
            </w:r>
          </w:p>
        </w:tc>
        <w:tc>
          <w:tcPr/>
          <w:p>
            <w:pPr>
              <w:pStyle w:val="Compact"/>
              <w:jc w:val="left"/>
            </w:pPr>
            <w:r>
              <w:t xml:space="preserve">—</w:t>
            </w:r>
          </w:p>
        </w:tc>
      </w:tr>
      <w:tr>
        <w:tc>
          <w:tcPr/>
          <w:p>
            <w:pPr>
              <w:pStyle w:val="Compact"/>
              <w:jc w:val="left"/>
            </w:pPr>
            <w:r>
              <w:t xml:space="preserve">排除江苏</w:t>
            </w:r>
          </w:p>
        </w:tc>
        <w:tc>
          <w:tcPr/>
          <w:p>
            <w:pPr>
              <w:pStyle w:val="Compact"/>
              <w:jc w:val="left"/>
            </w:pPr>
            <w:r>
              <w:t xml:space="preserve">0.0687</w:t>
            </w:r>
          </w:p>
        </w:tc>
        <w:tc>
          <w:tcPr/>
          <w:p>
            <w:pPr>
              <w:pStyle w:val="Compact"/>
              <w:jc w:val="left"/>
            </w:pPr>
            <w:r>
              <w:t xml:space="preserve">-0.084</w:t>
            </w:r>
          </w:p>
        </w:tc>
        <w:tc>
          <w:tcPr/>
          <w:p>
            <w:pPr>
              <w:pStyle w:val="Compact"/>
              <w:jc w:val="left"/>
            </w:pPr>
            <w:r>
              <w:t xml:space="preserve">-3.68%</w:t>
            </w:r>
          </w:p>
        </w:tc>
        <w:tc>
          <w:tcPr/>
          <w:p>
            <w:pPr>
              <w:pStyle w:val="Compact"/>
              <w:jc w:val="left"/>
            </w:pPr>
            <w:r>
              <w:t xml:space="preserve">-20.8%</w:t>
            </w:r>
          </w:p>
        </w:tc>
      </w:tr>
      <w:tr>
        <w:tc>
          <w:tcPr/>
          <w:p>
            <w:pPr>
              <w:pStyle w:val="Compact"/>
              <w:jc w:val="left"/>
            </w:pPr>
            <w:r>
              <w:t xml:space="preserve">排除广东</w:t>
            </w:r>
          </w:p>
        </w:tc>
        <w:tc>
          <w:tcPr/>
          <w:p>
            <w:pPr>
              <w:pStyle w:val="Compact"/>
              <w:jc w:val="left"/>
            </w:pPr>
            <w:r>
              <w:t xml:space="preserve">0.0612</w:t>
            </w:r>
          </w:p>
        </w:tc>
        <w:tc>
          <w:tcPr/>
          <w:p>
            <w:pPr>
              <w:pStyle w:val="Compact"/>
              <w:jc w:val="left"/>
            </w:pPr>
            <w:r>
              <w:t xml:space="preserve">-0.124</w:t>
            </w:r>
          </w:p>
        </w:tc>
        <w:tc>
          <w:tcPr/>
          <w:p>
            <w:pPr>
              <w:pStyle w:val="Compact"/>
              <w:jc w:val="left"/>
            </w:pPr>
            <w:r>
              <w:t xml:space="preserve">-5.43%</w:t>
            </w:r>
          </w:p>
        </w:tc>
        <w:tc>
          <w:tcPr/>
          <w:p>
            <w:pPr>
              <w:pStyle w:val="Compact"/>
              <w:jc w:val="left"/>
            </w:pPr>
            <w:r>
              <w:t xml:space="preserve">+17.0%</w:t>
            </w:r>
          </w:p>
        </w:tc>
      </w:tr>
      <w:tr>
        <w:tc>
          <w:tcPr/>
          <w:p>
            <w:pPr>
              <w:pStyle w:val="Compact"/>
              <w:jc w:val="left"/>
            </w:pPr>
            <w:r>
              <w:t xml:space="preserve">排除海南</w:t>
            </w:r>
          </w:p>
        </w:tc>
        <w:tc>
          <w:tcPr/>
          <w:p>
            <w:pPr>
              <w:pStyle w:val="Compact"/>
              <w:jc w:val="left"/>
            </w:pPr>
            <w:r>
              <w:t xml:space="preserve">0.0538</w:t>
            </w:r>
          </w:p>
        </w:tc>
        <w:tc>
          <w:tcPr/>
          <w:p>
            <w:pPr>
              <w:pStyle w:val="Compact"/>
              <w:jc w:val="left"/>
            </w:pPr>
            <w:r>
              <w:t xml:space="preserve">-0.104</w:t>
            </w:r>
          </w:p>
        </w:tc>
        <w:tc>
          <w:tcPr/>
          <w:p>
            <w:pPr>
              <w:pStyle w:val="Compact"/>
              <w:jc w:val="left"/>
            </w:pPr>
            <w:r>
              <w:t xml:space="preserve">-4.55%</w:t>
            </w:r>
          </w:p>
        </w:tc>
        <w:tc>
          <w:tcPr/>
          <w:p>
            <w:pPr>
              <w:pStyle w:val="Compact"/>
              <w:jc w:val="left"/>
            </w:pPr>
            <w:r>
              <w:t xml:space="preserve">-1.9%</w:t>
            </w:r>
          </w:p>
        </w:tc>
      </w:tr>
      <w:tr>
        <w:tc>
          <w:tcPr/>
          <w:p>
            <w:pPr>
              <w:pStyle w:val="Compact"/>
              <w:jc w:val="left"/>
            </w:pPr>
            <w:r>
              <w:t xml:space="preserve">排除三省</w:t>
            </w:r>
          </w:p>
        </w:tc>
        <w:tc>
          <w:tcPr/>
          <w:p>
            <w:pPr>
              <w:pStyle w:val="Compact"/>
              <w:jc w:val="left"/>
            </w:pPr>
            <w:r>
              <w:t xml:space="preserve">0.0892</w:t>
            </w:r>
          </w:p>
        </w:tc>
        <w:tc>
          <w:tcPr/>
          <w:p>
            <w:pPr>
              <w:pStyle w:val="Compact"/>
              <w:jc w:val="left"/>
            </w:pPr>
            <w:r>
              <w:t xml:space="preserve">-0.078</w:t>
            </w:r>
          </w:p>
        </w:tc>
        <w:tc>
          <w:tcPr/>
          <w:p>
            <w:pPr>
              <w:pStyle w:val="Compact"/>
              <w:jc w:val="left"/>
            </w:pPr>
            <w:r>
              <w:t xml:space="preserve">-3.42%</w:t>
            </w:r>
          </w:p>
        </w:tc>
        <w:tc>
          <w:tcPr/>
          <w:p>
            <w:pPr>
              <w:pStyle w:val="Compact"/>
              <w:jc w:val="left"/>
            </w:pPr>
            <w:r>
              <w:t xml:space="preserve">-26.4%</w:t>
            </w:r>
          </w:p>
        </w:tc>
      </w:tr>
    </w:tbl>
    <w:p>
      <w:pPr>
        <w:pStyle w:val="BodyText"/>
      </w:pPr>
      <w:r>
        <w:t xml:space="preserve">几点发现值得关注。第一，无论排除哪个省份，ATT估计值均为负值，且保持在[-0.124, -0.084]的区间内，与基准估计值-0.106处于同一数量级。这表明”政策显著缩小城乡收入差距”的核心结论不依赖于特定控制省份的选择。</w:t>
      </w:r>
    </w:p>
    <w:p>
      <w:pPr>
        <w:pStyle w:val="BodyText"/>
      </w:pPr>
      <w:r>
        <w:t xml:space="preserve">第二，排除江苏后ATT绝对值略有下降（-0.084），排除广东后则有所增大（-0.124）。这一差异具有实质含义：广东作为粤港澳大湾区的核心省份，近年来也在积极推进区域协调发展和共同富裕相关改革，其城乡收入差距同样呈现下降趋势。将广东纳入控制组，在一定程度上”稀释”了浙江政策效应的估计。排除广东后效应增大，恰恰从侧面印证了共同富裕相关政策的普遍效果。</w:t>
      </w:r>
    </w:p>
    <w:p>
      <w:pPr>
        <w:pStyle w:val="BodyText"/>
      </w:pPr>
      <w:r>
        <w:t xml:space="preserve">第三，即使同时排除江苏、广东、海南三个主要权重省份，ATT估计值仍为-0.078，保持显著的负值。尽管此时处理前RMSE有所上升（0.0892），反映匹配质量下降，但政策效应的方向和大致量级并未改变。</w:t>
      </w:r>
    </w:p>
    <w:bookmarkEnd w:id="47"/>
    <w:bookmarkStart w:id="48" w:name="二时间安慰剂检验因果时序的验证"/>
    <w:p>
      <w:pPr>
        <w:pStyle w:val="Heading3"/>
      </w:pPr>
      <w:r>
        <w:t xml:space="preserve">（二）时间安慰剂检验：因果时序的验证</w:t>
      </w:r>
    </w:p>
    <w:p>
      <w:pPr>
        <w:pStyle w:val="FirstParagraph"/>
      </w:pPr>
      <w:r>
        <w:t xml:space="preserve">合成控制法的因果识别依赖于一个关键假设：政策效应发生在政策实施之后，而非之前。第三部分指出，如果浙江城乡收入差距的下降早在2021年之前就已开始，那么我们观察到的”政策效应”可能只是既有趋势的延续，而非示范区建设的真实作用。</w:t>
      </w:r>
    </w:p>
    <w:p>
      <w:pPr>
        <w:pStyle w:val="BodyText"/>
      </w:pPr>
      <w:r>
        <w:t xml:space="preserve">为检验这一假设，本文进行时间安慰剂检验（In-Time Placebo Test）。该方法假设政策在真实实施年份（2021年）之前的某个时点”提前”实施，然后使用政策前数据估计”政策效应”。如果在这些虚假政策年份观察到显著效应，则说明存在预处理趋势，真实效应的识别受到威胁。</w:t>
      </w:r>
    </w:p>
    <w:p>
      <w:pPr>
        <w:pStyle w:val="BodyText"/>
      </w:pPr>
      <w:r>
        <w:t xml:space="preserve">表5报告了时间安慰剂检验结果，分别假设政策在2017、2018、2019、2020年实施。</w:t>
      </w:r>
    </w:p>
    <w:p>
      <w:pPr>
        <w:pStyle w:val="BodyText"/>
      </w:pPr>
      <w:r>
        <w:rPr>
          <w:bCs/>
          <w:b/>
        </w:rPr>
        <w:t xml:space="preserve">表5 时间安慰剂检验结果</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假设政策年份</w:t>
            </w:r>
          </w:p>
        </w:tc>
        <w:tc>
          <w:tcPr/>
          <w:p>
            <w:pPr>
              <w:pStyle w:val="Compact"/>
              <w:jc w:val="left"/>
            </w:pPr>
            <w:r>
              <w:t xml:space="preserve">处理前期数</w:t>
            </w:r>
          </w:p>
        </w:tc>
        <w:tc>
          <w:tcPr/>
          <w:p>
            <w:pPr>
              <w:pStyle w:val="Compact"/>
              <w:jc w:val="left"/>
            </w:pPr>
            <w:r>
              <w:t xml:space="preserve">处理后期数</w:t>
            </w:r>
          </w:p>
        </w:tc>
        <w:tc>
          <w:tcPr/>
          <w:p>
            <w:pPr>
              <w:pStyle w:val="Compact"/>
              <w:jc w:val="left"/>
            </w:pPr>
            <w:r>
              <w:t xml:space="preserve">ATT估计值</w:t>
            </w:r>
          </w:p>
        </w:tc>
        <w:tc>
          <w:tcPr/>
          <w:p>
            <w:pPr>
              <w:pStyle w:val="Compact"/>
              <w:jc w:val="left"/>
            </w:pPr>
            <w:r>
              <w:t xml:space="preserve">真实效应比</w:t>
            </w:r>
          </w:p>
        </w:tc>
      </w:tr>
      <w:tr>
        <w:tc>
          <w:tcPr/>
          <w:p>
            <w:pPr>
              <w:pStyle w:val="Compact"/>
              <w:jc w:val="left"/>
            </w:pPr>
            <w:r>
              <w:t xml:space="preserve">2017年</w:t>
            </w:r>
          </w:p>
        </w:tc>
        <w:tc>
          <w:tcPr/>
          <w:p>
            <w:pPr>
              <w:pStyle w:val="Compact"/>
              <w:jc w:val="left"/>
            </w:pPr>
            <w:r>
              <w:t xml:space="preserve">7年</w:t>
            </w:r>
          </w:p>
        </w:tc>
        <w:tc>
          <w:tcPr/>
          <w:p>
            <w:pPr>
              <w:pStyle w:val="Compact"/>
              <w:jc w:val="left"/>
            </w:pPr>
            <w:r>
              <w:t xml:space="preserve">4年</w:t>
            </w:r>
          </w:p>
        </w:tc>
        <w:tc>
          <w:tcPr/>
          <w:p>
            <w:pPr>
              <w:pStyle w:val="Compact"/>
              <w:jc w:val="left"/>
            </w:pPr>
            <w:r>
              <w:t xml:space="preserve">+0.012</w:t>
            </w:r>
          </w:p>
        </w:tc>
        <w:tc>
          <w:tcPr/>
          <w:p>
            <w:pPr>
              <w:pStyle w:val="Compact"/>
              <w:jc w:val="left"/>
            </w:pPr>
            <w:r>
              <w:t xml:space="preserve">11.3%</w:t>
            </w:r>
          </w:p>
        </w:tc>
      </w:tr>
      <w:tr>
        <w:tc>
          <w:tcPr/>
          <w:p>
            <w:pPr>
              <w:pStyle w:val="Compact"/>
              <w:jc w:val="left"/>
            </w:pPr>
            <w:r>
              <w:t xml:space="preserve">2018年</w:t>
            </w:r>
          </w:p>
        </w:tc>
        <w:tc>
          <w:tcPr/>
          <w:p>
            <w:pPr>
              <w:pStyle w:val="Compact"/>
              <w:jc w:val="left"/>
            </w:pPr>
            <w:r>
              <w:t xml:space="preserve">8年</w:t>
            </w:r>
          </w:p>
        </w:tc>
        <w:tc>
          <w:tcPr/>
          <w:p>
            <w:pPr>
              <w:pStyle w:val="Compact"/>
              <w:jc w:val="left"/>
            </w:pPr>
            <w:r>
              <w:t xml:space="preserve">3年</w:t>
            </w:r>
          </w:p>
        </w:tc>
        <w:tc>
          <w:tcPr/>
          <w:p>
            <w:pPr>
              <w:pStyle w:val="Compact"/>
              <w:jc w:val="left"/>
            </w:pPr>
            <w:r>
              <w:t xml:space="preserve">-0.018</w:t>
            </w:r>
          </w:p>
        </w:tc>
        <w:tc>
          <w:tcPr/>
          <w:p>
            <w:pPr>
              <w:pStyle w:val="Compact"/>
              <w:jc w:val="left"/>
            </w:pPr>
            <w:r>
              <w:t xml:space="preserve">17.0%</w:t>
            </w:r>
          </w:p>
        </w:tc>
      </w:tr>
      <w:tr>
        <w:tc>
          <w:tcPr/>
          <w:p>
            <w:pPr>
              <w:pStyle w:val="Compact"/>
              <w:jc w:val="left"/>
            </w:pPr>
            <w:r>
              <w:t xml:space="preserve">2019年</w:t>
            </w:r>
          </w:p>
        </w:tc>
        <w:tc>
          <w:tcPr/>
          <w:p>
            <w:pPr>
              <w:pStyle w:val="Compact"/>
              <w:jc w:val="left"/>
            </w:pPr>
            <w:r>
              <w:t xml:space="preserve">9年</w:t>
            </w:r>
          </w:p>
        </w:tc>
        <w:tc>
          <w:tcPr/>
          <w:p>
            <w:pPr>
              <w:pStyle w:val="Compact"/>
              <w:jc w:val="left"/>
            </w:pPr>
            <w:r>
              <w:t xml:space="preserve">2年</w:t>
            </w:r>
          </w:p>
        </w:tc>
        <w:tc>
          <w:tcPr/>
          <w:p>
            <w:pPr>
              <w:pStyle w:val="Compact"/>
              <w:jc w:val="left"/>
            </w:pPr>
            <w:r>
              <w:t xml:space="preserve">+0.025</w:t>
            </w:r>
          </w:p>
        </w:tc>
        <w:tc>
          <w:tcPr/>
          <w:p>
            <w:pPr>
              <w:pStyle w:val="Compact"/>
              <w:jc w:val="left"/>
            </w:pPr>
            <w:r>
              <w:t xml:space="preserve">23.6%</w:t>
            </w:r>
          </w:p>
        </w:tc>
      </w:tr>
      <w:tr>
        <w:tc>
          <w:tcPr/>
          <w:p>
            <w:pPr>
              <w:pStyle w:val="Compact"/>
              <w:jc w:val="left"/>
            </w:pPr>
            <w:r>
              <w:t xml:space="preserve">2020年</w:t>
            </w:r>
          </w:p>
        </w:tc>
        <w:tc>
          <w:tcPr/>
          <w:p>
            <w:pPr>
              <w:pStyle w:val="Compact"/>
              <w:jc w:val="left"/>
            </w:pPr>
            <w:r>
              <w:t xml:space="preserve">10年</w:t>
            </w:r>
          </w:p>
        </w:tc>
        <w:tc>
          <w:tcPr/>
          <w:p>
            <w:pPr>
              <w:pStyle w:val="Compact"/>
              <w:jc w:val="left"/>
            </w:pPr>
            <w:r>
              <w:t xml:space="preserve">1年</w:t>
            </w:r>
          </w:p>
        </w:tc>
        <w:tc>
          <w:tcPr/>
          <w:p>
            <w:pPr>
              <w:pStyle w:val="Compact"/>
              <w:jc w:val="left"/>
            </w:pPr>
            <w:r>
              <w:t xml:space="preserve">-0.008</w:t>
            </w:r>
          </w:p>
        </w:tc>
        <w:tc>
          <w:tcPr/>
          <w:p>
            <w:pPr>
              <w:pStyle w:val="Compact"/>
              <w:jc w:val="left"/>
            </w:pPr>
            <w:r>
              <w:t xml:space="preserve">7.5%</w:t>
            </w:r>
          </w:p>
        </w:tc>
      </w:tr>
      <w:tr>
        <w:tc>
          <w:tcPr/>
          <w:p>
            <w:pPr>
              <w:pStyle w:val="Compact"/>
              <w:jc w:val="left"/>
            </w:pPr>
            <w:r>
              <w:rPr>
                <w:bCs/>
                <w:b/>
              </w:rPr>
              <w:t xml:space="preserve">2021年（真实）</w:t>
            </w:r>
          </w:p>
        </w:tc>
        <w:tc>
          <w:tcPr/>
          <w:p>
            <w:pPr>
              <w:pStyle w:val="Compact"/>
              <w:jc w:val="left"/>
            </w:pPr>
            <w:r>
              <w:rPr>
                <w:bCs/>
                <w:b/>
              </w:rPr>
              <w:t xml:space="preserve">11年</w:t>
            </w:r>
          </w:p>
        </w:tc>
        <w:tc>
          <w:tcPr/>
          <w:p>
            <w:pPr>
              <w:pStyle w:val="Compact"/>
              <w:jc w:val="left"/>
            </w:pPr>
            <w:r>
              <w:rPr>
                <w:bCs/>
                <w:b/>
              </w:rPr>
              <w:t xml:space="preserve">3年</w:t>
            </w:r>
          </w:p>
        </w:tc>
        <w:tc>
          <w:tcPr/>
          <w:p>
            <w:pPr>
              <w:pStyle w:val="Compact"/>
              <w:jc w:val="left"/>
            </w:pPr>
            <w:r>
              <w:rPr>
                <w:bCs/>
                <w:b/>
              </w:rPr>
              <w:t xml:space="preserve">-0.106</w:t>
            </w:r>
          </w:p>
        </w:tc>
        <w:tc>
          <w:tcPr/>
          <w:p>
            <w:pPr>
              <w:pStyle w:val="Compact"/>
              <w:jc w:val="left"/>
            </w:pPr>
            <w:r>
              <w:rPr>
                <w:bCs/>
                <w:b/>
              </w:rPr>
              <w:t xml:space="preserve">100%</w:t>
            </w:r>
          </w:p>
        </w:tc>
      </w:tr>
    </w:tbl>
    <w:p>
      <w:pPr>
        <w:pStyle w:val="BodyText"/>
      </w:pPr>
      <w:r>
        <w:t xml:space="preserve">注：真实效应比 = |假设ATT| / |真实ATT| × 100%。</w:t>
      </w:r>
    </w:p>
    <w:p>
      <w:pPr>
        <w:pStyle w:val="BodyText"/>
      </w:pPr>
      <w:r>
        <w:t xml:space="preserve">结果清楚地表明，四个假设政策年份的ATT估计值均接近于零（范围为[-0.018, +0.025]），绝对值不超过真实效应的四分之一。更重要的是，这些”假效应”的符号并不一致——有正有负，呈现随机波动的特征。这与真实效应（-0.106）的稳定负值形成鲜明对比。</w:t>
      </w:r>
    </w:p>
    <w:p>
      <w:pPr>
        <w:pStyle w:val="BodyText"/>
      </w:pPr>
      <w:r>
        <w:t xml:space="preserve">这一结果的政策含义是明确的：在2021年示范区建设启动之前，浙江的城乡收入差距变化轨迹与”合成浙江”高度一致，并无超常下降的迹象。政策效应确实发生在政策实施之后，因果时序得到验证。这回应了引言中提出的方法论挑战——合成控制法成功地将浙江示范区建设的效应从既有趋势中分离出来。</w:t>
      </w:r>
    </w:p>
    <w:bookmarkEnd w:id="48"/>
    <w:bookmarkStart w:id="49" w:name="三替代结果变量效应一般性的检验"/>
    <w:p>
      <w:pPr>
        <w:pStyle w:val="Heading3"/>
      </w:pPr>
      <w:r>
        <w:t xml:space="preserve">（三）替代结果变量：效应一般性的检验</w:t>
      </w:r>
    </w:p>
    <w:p>
      <w:pPr>
        <w:pStyle w:val="FirstParagraph"/>
      </w:pPr>
      <w:r>
        <w:t xml:space="preserve">第三部分将城乡收入比作为结果变量，这一选择虽然具有数据可得性和政策相关性的优势，但也引发一个问题：研究结论是否依赖于特定的测度方式？为检验结论的一般性，本文使用两个替代结果变量重新估计政策效应。</w:t>
      </w:r>
    </w:p>
    <w:p>
      <w:pPr>
        <w:pStyle w:val="BodyText"/>
      </w:pPr>
      <w:r>
        <w:t xml:space="preserve">第一个替代变量是农村居民人均可支配收入的对数值。如果示范区建设确实缩小了城乡差距，其作用机制应当体现为提升农村居民收入。第二个替代变量是泰尔指数（Theil Index），这是衡量收入不平等的另一常用指标，能够捕捉收入分布的整体不均等程度。</w:t>
      </w:r>
    </w:p>
    <w:p>
      <w:pPr>
        <w:pStyle w:val="BodyText"/>
      </w:pPr>
      <w:r>
        <w:t xml:space="preserve">表6报告了替代结果变量的估计结果。</w:t>
      </w:r>
    </w:p>
    <w:p>
      <w:pPr>
        <w:pStyle w:val="BodyText"/>
      </w:pPr>
      <w:r>
        <w:rPr>
          <w:bCs/>
          <w:b/>
        </w:rPr>
        <w:t xml:space="preserve">表6 替代结果变量检验</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结果变量</w:t>
            </w:r>
          </w:p>
        </w:tc>
        <w:tc>
          <w:tcPr/>
          <w:p>
            <w:pPr>
              <w:pStyle w:val="Compact"/>
              <w:jc w:val="left"/>
            </w:pPr>
            <w:r>
              <w:t xml:space="preserve">预期方向</w:t>
            </w:r>
          </w:p>
        </w:tc>
        <w:tc>
          <w:tcPr/>
          <w:p>
            <w:pPr>
              <w:pStyle w:val="Compact"/>
              <w:jc w:val="left"/>
            </w:pPr>
            <w:r>
              <w:t xml:space="preserve">ATT估计值</w:t>
            </w:r>
          </w:p>
        </w:tc>
        <w:tc>
          <w:tcPr/>
          <w:p>
            <w:pPr>
              <w:pStyle w:val="Compact"/>
              <w:jc w:val="left"/>
            </w:pPr>
            <w:r>
              <w:t xml:space="preserve">p值</w:t>
            </w:r>
          </w:p>
        </w:tc>
        <w:tc>
          <w:tcPr/>
          <w:p>
            <w:pPr>
              <w:pStyle w:val="Compact"/>
              <w:jc w:val="left"/>
            </w:pPr>
            <w:r>
              <w:t xml:space="preserve">结论</w:t>
            </w:r>
          </w:p>
        </w:tc>
      </w:tr>
      <w:tr>
        <w:tc>
          <w:tcPr/>
          <w:p>
            <w:pPr>
              <w:pStyle w:val="Compact"/>
              <w:jc w:val="left"/>
            </w:pPr>
            <w:r>
              <w:t xml:space="preserve">城乡收入比</w:t>
            </w:r>
          </w:p>
        </w:tc>
        <w:tc>
          <w:tcPr/>
          <w:p>
            <w:pPr>
              <w:pStyle w:val="Compact"/>
              <w:jc w:val="left"/>
            </w:pPr>
            <w:r>
              <w:t xml:space="preserve">负</w:t>
            </w:r>
          </w:p>
        </w:tc>
        <w:tc>
          <w:tcPr/>
          <w:p>
            <w:pPr>
              <w:pStyle w:val="Compact"/>
              <w:jc w:val="left"/>
            </w:pPr>
            <w:r>
              <w:t xml:space="preserve">-0.106</w:t>
            </w:r>
          </w:p>
        </w:tc>
        <w:tc>
          <w:tcPr/>
          <w:p>
            <w:pPr>
              <w:pStyle w:val="Compact"/>
              <w:jc w:val="left"/>
            </w:pPr>
            <w:r>
              <w:t xml:space="preserve">&lt;0.001</w:t>
            </w:r>
          </w:p>
        </w:tc>
        <w:tc>
          <w:tcPr/>
          <w:p>
            <w:pPr>
              <w:pStyle w:val="Compact"/>
              <w:jc w:val="left"/>
            </w:pPr>
            <w:r>
              <w:t xml:space="preserve">支持</w:t>
            </w:r>
          </w:p>
        </w:tc>
      </w:tr>
      <w:tr>
        <w:tc>
          <w:tcPr/>
          <w:p>
            <w:pPr>
              <w:pStyle w:val="Compact"/>
              <w:jc w:val="left"/>
            </w:pPr>
            <w:r>
              <w:t xml:space="preserve">农村居民收入（万元）</w:t>
            </w:r>
          </w:p>
        </w:tc>
        <w:tc>
          <w:tcPr/>
          <w:p>
            <w:pPr>
              <w:pStyle w:val="Compact"/>
              <w:jc w:val="left"/>
            </w:pPr>
            <w:r>
              <w:t xml:space="preserve">正</w:t>
            </w:r>
          </w:p>
        </w:tc>
        <w:tc>
          <w:tcPr/>
          <w:p>
            <w:pPr>
              <w:pStyle w:val="Compact"/>
              <w:jc w:val="left"/>
            </w:pPr>
            <w:r>
              <w:t xml:space="preserve">+0.082</w:t>
            </w:r>
          </w:p>
        </w:tc>
        <w:tc>
          <w:tcPr/>
          <w:p>
            <w:pPr>
              <w:pStyle w:val="Compact"/>
              <w:jc w:val="left"/>
            </w:pPr>
            <w:r>
              <w:t xml:space="preserve">&lt;0.05</w:t>
            </w:r>
          </w:p>
        </w:tc>
        <w:tc>
          <w:tcPr/>
          <w:p>
            <w:pPr>
              <w:pStyle w:val="Compact"/>
              <w:jc w:val="left"/>
            </w:pPr>
            <w:r>
              <w:t xml:space="preserve">支持</w:t>
            </w:r>
          </w:p>
        </w:tc>
      </w:tr>
      <w:tr>
        <w:tc>
          <w:tcPr/>
          <w:p>
            <w:pPr>
              <w:pStyle w:val="Compact"/>
              <w:jc w:val="left"/>
            </w:pPr>
            <w:r>
              <w:t xml:space="preserve">泰尔指数</w:t>
            </w:r>
          </w:p>
        </w:tc>
        <w:tc>
          <w:tcPr/>
          <w:p>
            <w:pPr>
              <w:pStyle w:val="Compact"/>
              <w:jc w:val="left"/>
            </w:pPr>
            <w:r>
              <w:t xml:space="preserve">负</w:t>
            </w:r>
          </w:p>
        </w:tc>
        <w:tc>
          <w:tcPr/>
          <w:p>
            <w:pPr>
              <w:pStyle w:val="Compact"/>
              <w:jc w:val="left"/>
            </w:pPr>
            <w:r>
              <w:t xml:space="preserve">-0.008</w:t>
            </w:r>
          </w:p>
        </w:tc>
        <w:tc>
          <w:tcPr/>
          <w:p>
            <w:pPr>
              <w:pStyle w:val="Compact"/>
              <w:jc w:val="left"/>
            </w:pPr>
            <w:r>
              <w:t xml:space="preserve">&lt;0.05</w:t>
            </w:r>
          </w:p>
        </w:tc>
        <w:tc>
          <w:tcPr/>
          <w:p>
            <w:pPr>
              <w:pStyle w:val="Compact"/>
              <w:jc w:val="left"/>
            </w:pPr>
            <w:r>
              <w:t xml:space="preserve">支持</w:t>
            </w:r>
          </w:p>
        </w:tc>
      </w:tr>
    </w:tbl>
    <w:p>
      <w:pPr>
        <w:pStyle w:val="BodyText"/>
      </w:pPr>
      <w:r>
        <w:t xml:space="preserve">三个结果变量的政策效应方向完全符合理论预期，且均在统计上显著。城乡收入比下降（-0.106），说明城乡差距缩小；农村居民收入增长（+0.082万元），说明政策提升了农村居民的绝对收入水平；泰尔指数下降（-0.008），说明收入分配的整体不平等程度降低。三个指标相互印证，表明研究结论具有一般性，不依赖于特定测度方式的选择。</w:t>
      </w:r>
    </w:p>
    <w:p>
      <w:pPr>
        <w:pStyle w:val="BodyText"/>
      </w:pPr>
      <w:r>
        <w:t xml:space="preserve">值得注意的是，农村居民收入的正向效应与理论框架第二部分的分析高度吻合。理论框架指出，制度变迁通过要素流动、收入分配、公共服务三条路径作用于城乡差距，其中要素流动使农村劳动力获得更高的非农收入，收入分配改革增强了农村居民的转移性收入，公共服务均等化提升了农村居民的人力资本和健康资本。这些机制的共同作用，体现为农村居民收入的显著增长。</w:t>
      </w:r>
    </w:p>
    <w:bookmarkEnd w:id="49"/>
    <w:bookmarkStart w:id="50" w:name="四预测变量选择的敏感性分析"/>
    <w:p>
      <w:pPr>
        <w:pStyle w:val="Heading3"/>
      </w:pPr>
      <w:r>
        <w:t xml:space="preserve">（四）预测变量选择的敏感性分析</w:t>
      </w:r>
    </w:p>
    <w:p>
      <w:pPr>
        <w:pStyle w:val="FirstParagraph"/>
      </w:pPr>
      <w:r>
        <w:t xml:space="preserve">合成控制法的权重确定依赖于预测变量的选择。第三部分选取了人均GDP、城镇化率、第三产业占比、人均财政支出和人均固定资产投资五个预测变量，这一选择是否会影响研究结论？</w:t>
      </w:r>
    </w:p>
    <w:p>
      <w:pPr>
        <w:pStyle w:val="BodyText"/>
      </w:pPr>
      <w:r>
        <w:t xml:space="preserve">为回答这一问题，本文分别采用”精简模型”和”扩展模型”进行敏感性分析。精简模型仅包含人均GDP和城镇化率两个核心预测变量——这两个变量与城乡收入差距的理论关联最为直接。扩展模型在基准模型基础上增加人均消费支出和高等教育毛入学率两个预测变量，以捕捉消费结构和人力资本维度的差异。</w:t>
      </w:r>
    </w:p>
    <w:p>
      <w:pPr>
        <w:pStyle w:val="BodyText"/>
      </w:pPr>
      <w:r>
        <w:t xml:space="preserve">表7报告了敏感性分析结果。</w:t>
      </w:r>
    </w:p>
    <w:p>
      <w:pPr>
        <w:pStyle w:val="BodyText"/>
      </w:pPr>
      <w:r>
        <w:rPr>
          <w:bCs/>
          <w:b/>
        </w:rPr>
        <w:t xml:space="preserve">表7 预测变量敏感性分析</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模型</w:t>
            </w:r>
          </w:p>
        </w:tc>
        <w:tc>
          <w:tcPr/>
          <w:p>
            <w:pPr>
              <w:pStyle w:val="Compact"/>
              <w:jc w:val="left"/>
            </w:pPr>
            <w:r>
              <w:t xml:space="preserve">预测变量数量</w:t>
            </w:r>
          </w:p>
        </w:tc>
        <w:tc>
          <w:tcPr/>
          <w:p>
            <w:pPr>
              <w:pStyle w:val="Compact"/>
              <w:jc w:val="left"/>
            </w:pPr>
            <w:r>
              <w:t xml:space="preserve">处理前RMSE</w:t>
            </w:r>
          </w:p>
        </w:tc>
        <w:tc>
          <w:tcPr/>
          <w:p>
            <w:pPr>
              <w:pStyle w:val="Compact"/>
              <w:jc w:val="left"/>
            </w:pPr>
            <w:r>
              <w:t xml:space="preserve">ATT估计值</w:t>
            </w:r>
          </w:p>
        </w:tc>
        <w:tc>
          <w:tcPr/>
          <w:p>
            <w:pPr>
              <w:pStyle w:val="Compact"/>
              <w:jc w:val="left"/>
            </w:pPr>
            <w:r>
              <w:t xml:space="preserve">权重结构变化</w:t>
            </w:r>
          </w:p>
        </w:tc>
      </w:tr>
      <w:tr>
        <w:tc>
          <w:tcPr/>
          <w:p>
            <w:pPr>
              <w:pStyle w:val="Compact"/>
              <w:jc w:val="left"/>
            </w:pPr>
            <w:r>
              <w:t xml:space="preserve">精简模型</w:t>
            </w:r>
          </w:p>
        </w:tc>
        <w:tc>
          <w:tcPr/>
          <w:p>
            <w:pPr>
              <w:pStyle w:val="Compact"/>
              <w:jc w:val="left"/>
            </w:pPr>
            <w:r>
              <w:t xml:space="preserve">2个</w:t>
            </w:r>
          </w:p>
        </w:tc>
        <w:tc>
          <w:tcPr/>
          <w:p>
            <w:pPr>
              <w:pStyle w:val="Compact"/>
              <w:jc w:val="left"/>
            </w:pPr>
            <w:r>
              <w:t xml:space="preserve">0.0612</w:t>
            </w:r>
          </w:p>
        </w:tc>
        <w:tc>
          <w:tcPr/>
          <w:p>
            <w:pPr>
              <w:pStyle w:val="Compact"/>
              <w:jc w:val="left"/>
            </w:pPr>
            <w:r>
              <w:t xml:space="preserve">-0.098</w:t>
            </w:r>
          </w:p>
        </w:tc>
        <w:tc>
          <w:tcPr/>
          <w:p>
            <w:pPr>
              <w:pStyle w:val="Compact"/>
              <w:jc w:val="left"/>
            </w:pPr>
            <w:r>
              <w:t xml:space="preserve">江苏↑，广东↓</w:t>
            </w:r>
          </w:p>
        </w:tc>
      </w:tr>
      <w:tr>
        <w:tc>
          <w:tcPr/>
          <w:p>
            <w:pPr>
              <w:pStyle w:val="Compact"/>
              <w:jc w:val="left"/>
            </w:pPr>
            <w:r>
              <w:t xml:space="preserve">基准模型</w:t>
            </w:r>
          </w:p>
        </w:tc>
        <w:tc>
          <w:tcPr/>
          <w:p>
            <w:pPr>
              <w:pStyle w:val="Compact"/>
              <w:jc w:val="left"/>
            </w:pPr>
            <w:r>
              <w:t xml:space="preserve">5个</w:t>
            </w:r>
          </w:p>
        </w:tc>
        <w:tc>
          <w:tcPr/>
          <w:p>
            <w:pPr>
              <w:pStyle w:val="Compact"/>
              <w:jc w:val="left"/>
            </w:pPr>
            <w:r>
              <w:t xml:space="preserve">0.0524</w:t>
            </w:r>
          </w:p>
        </w:tc>
        <w:tc>
          <w:tcPr/>
          <w:p>
            <w:pPr>
              <w:pStyle w:val="Compact"/>
              <w:jc w:val="left"/>
            </w:pPr>
            <w:r>
              <w:t xml:space="preserve">-0.106</w:t>
            </w:r>
          </w:p>
        </w:tc>
        <w:tc>
          <w:tcPr/>
          <w:p>
            <w:pPr>
              <w:pStyle w:val="Compact"/>
              <w:jc w:val="left"/>
            </w:pPr>
            <w:r>
              <w:t xml:space="preserve">—</w:t>
            </w:r>
          </w:p>
        </w:tc>
      </w:tr>
      <w:tr>
        <w:tc>
          <w:tcPr/>
          <w:p>
            <w:pPr>
              <w:pStyle w:val="Compact"/>
              <w:jc w:val="left"/>
            </w:pPr>
            <w:r>
              <w:t xml:space="preserve">扩展模型</w:t>
            </w:r>
          </w:p>
        </w:tc>
        <w:tc>
          <w:tcPr/>
          <w:p>
            <w:pPr>
              <w:pStyle w:val="Compact"/>
              <w:jc w:val="left"/>
            </w:pPr>
            <w:r>
              <w:t xml:space="preserve">7个</w:t>
            </w:r>
          </w:p>
        </w:tc>
        <w:tc>
          <w:tcPr/>
          <w:p>
            <w:pPr>
              <w:pStyle w:val="Compact"/>
              <w:jc w:val="left"/>
            </w:pPr>
            <w:r>
              <w:t xml:space="preserve">0.0498</w:t>
            </w:r>
          </w:p>
        </w:tc>
        <w:tc>
          <w:tcPr/>
          <w:p>
            <w:pPr>
              <w:pStyle w:val="Compact"/>
              <w:jc w:val="left"/>
            </w:pPr>
            <w:r>
              <w:t xml:space="preserve">-0.112</w:t>
            </w:r>
          </w:p>
        </w:tc>
        <w:tc>
          <w:tcPr/>
          <w:p>
            <w:pPr>
              <w:pStyle w:val="Compact"/>
              <w:jc w:val="left"/>
            </w:pPr>
            <w:r>
              <w:t xml:space="preserve">海南↓，福建↑</w:t>
            </w:r>
          </w:p>
        </w:tc>
      </w:tr>
    </w:tbl>
    <w:p>
      <w:pPr>
        <w:pStyle w:val="BodyText"/>
      </w:pPr>
      <w:r>
        <w:t xml:space="preserve">三种模型的ATT估计值范围为[-0.112, -0.098]，差异不超过基准估计值的10%。这表明研究结论对预测变量选择不敏感。值得注意的是，随着预测变量数量增加，处理前RMSE呈下降趋势，说明匹配质量有所改善，但政策效应估计值变化不大，进一步增强了结论的可信度。</w:t>
      </w:r>
    </w:p>
    <w:bookmarkEnd w:id="50"/>
    <w:bookmarkStart w:id="52" w:name="五稳健性检验的综合评价"/>
    <w:p>
      <w:pPr>
        <w:pStyle w:val="Heading3"/>
      </w:pPr>
      <w:r>
        <w:t xml:space="preserve">（五）稳健性检验的综合评价</w:t>
      </w:r>
    </w:p>
    <w:p>
      <w:pPr>
        <w:pStyle w:val="FirstParagraph"/>
      </w:pPr>
      <w:r>
        <w:t xml:space="preserve">综合以上四项检验，本文的核心结论——共同富裕示范区建设显著缩小了城乡收入差距——经受住了多重稳健性检验的考验。留一交叉验证表明结论不依赖于特定控制省份；时间安慰剂检验验证了因果时序；替代结果变量检验证实了结论的一般性；敏感性分析排除了预测变量选择的干扰。</w:t>
      </w:r>
    </w:p>
    <w:p>
      <w:pPr>
        <w:pStyle w:val="BodyText"/>
      </w:pPr>
      <w:r>
        <w:t xml:space="preserve">这些检验充分发挥了合成控制法的方法论优势。正如Abadie所强调，合成控制法不仅提供了一种构建反事实的系统方法，更重要的是，它配备了一整套透明的诊断工具，使研究者能够系统地评估结论的可靠性</w:t>
      </w:r>
      <w:r>
        <w:rPr>
          <w:rStyle w:val="FootnoteReference"/>
        </w:rPr>
        <w:footnoteReference w:id="51"/>
      </w:r>
      <w:r>
        <w:t xml:space="preserve">。本文的稳健性检验正是这一方法论精神的具体体现。</w:t>
      </w:r>
    </w:p>
    <w:p>
      <w:r>
        <w:pict>
          <v:rect style="width:0;height:1.5pt" o:hralign="center" o:hrstd="t" o:hr="t"/>
        </w:pict>
      </w:r>
    </w:p>
    <w:bookmarkEnd w:id="52"/>
    <w:bookmarkEnd w:id="53"/>
    <w:bookmarkStart w:id="59" w:name="六机制讨论从制度锁定到制度解锁假说三的检验"/>
    <w:p>
      <w:pPr>
        <w:pStyle w:val="Heading2"/>
      </w:pPr>
      <w:r>
        <w:t xml:space="preserve">六、机制讨论：从”制度锁定”到”制度解锁”——假说三的检验</w:t>
      </w:r>
    </w:p>
    <w:p>
      <w:pPr>
        <w:pStyle w:val="FirstParagraph"/>
      </w:pPr>
      <w:r>
        <w:t xml:space="preserve">前文的实证分析确立了共同富裕示范区建设与城乡收入差距缩小之间的因果联系（假说一），并刻画了政策效应的动态演变特征（假说二）。但要深入理解这一因果关系，还需揭示其背后的作用机制，回应假说三。理论框架第二部分提出，城乡收入差距源于户籍制度、土地制度和公共服务供给制度的”制度锁定”，制度变迁通过要素流动、收入分配和能力发展三条路径打破这一锁定。本部分回到这一理论框架，结合政策实践和数据证据，深入讨论三条机制路径的运作逻辑及其协同作用，检验假说三。</w:t>
      </w:r>
    </w:p>
    <w:bookmarkStart w:id="54" w:name="一要素流动路径打破半城镇化困局"/>
    <w:p>
      <w:pPr>
        <w:pStyle w:val="Heading3"/>
      </w:pPr>
      <w:r>
        <w:t xml:space="preserve">（一）要素流动路径：打破”半城镇化”困局</w:t>
      </w:r>
    </w:p>
    <w:p>
      <w:pPr>
        <w:pStyle w:val="FirstParagraph"/>
      </w:pPr>
      <w:r>
        <w:t xml:space="preserve">理论框架指出，户籍制度造成了中国特有的”半城镇化”现象——农村劳动力在就业统计上被计入城镇，但在公共服务享有上仍被排斥在外。这种制度安排阻断了刘易斯模型预测的”城乡收入趋同”过程。共同富裕示范区建设将深化户籍制度改革作为突破口，其政策逻辑是：通过剥离附着于户籍的公共服务权利，降低农村劳动力进城的制度门槛，推进”半城镇化”向”完全城镇化”转变。</w:t>
      </w:r>
    </w:p>
    <w:p>
      <w:pPr>
        <w:pStyle w:val="BodyText"/>
      </w:pPr>
      <w:r>
        <w:t xml:space="preserve">浙江省的政策实践为这一逻辑提供了具体注脚。2021年以来，浙江在全国率先全面放开县城落户限制，推进居住证与基本公共服务权利挂钩。《浙江省新型城镇化发展”十四五”规划》明确提出，</w:t>
      </w:r>
      <w:r>
        <w:t xml:space="preserve">“</w:t>
      </w:r>
      <w:r>
        <w:t xml:space="preserve">推动城镇基本公共服务常住人口全覆盖</w:t>
      </w:r>
      <w:r>
        <w:t xml:space="preserve">”</w:t>
      </w:r>
      <w:r>
        <w:t xml:space="preserve">，使进城农民在子女教育、住房保障、社会保险等方面享有与户籍人口同等的权利。</w:t>
      </w:r>
    </w:p>
    <w:p>
      <w:pPr>
        <w:pStyle w:val="BodyText"/>
      </w:pPr>
      <w:r>
        <w:t xml:space="preserve">数据层面，浙江省统计年鉴显示，2020—2023年间，浙江常住人口城镇化率从72.2%提升至74.2%，年均增长0.67个百分点，高于全国平均水平。更重要的是，户籍人口城镇化率与常住人口城镇化率的差距从12.3个百分点缩小至10.8个百分点，表明”人户分离”现象有所缓解，农业转移人口市民化进程加快。</w:t>
      </w:r>
    </w:p>
    <w:p>
      <w:pPr>
        <w:pStyle w:val="BodyText"/>
      </w:pPr>
      <w:r>
        <w:t xml:space="preserve">与此同时，要素流动呈现双向特征。在农村劳动力”进城”的同时，城市资本和人才也在”下乡”。浙江省深化农村产权制度改革，推进农村集体经营性建设用地入市，赋予农民更完整的土地权利。截至2023年底，浙江省累计完成农村集体经营性建设用地入市交易超过500宗，交易金额突破100亿元。这些改革激活了农村沉睡资产，吸引城市资本投入乡村产业，形成了城乡要素双向流动的新格局。</w:t>
      </w:r>
    </w:p>
    <w:p>
      <w:pPr>
        <w:pStyle w:val="BodyText"/>
      </w:pPr>
      <w:r>
        <w:t xml:space="preserve">要素双向流动的收入效应是直接的。进城农民获得了更高的非农工资收入，下乡资本带动了农村产业发展和就地就业，城乡劳动力市场的分割程度降低，城乡工资差距趋于收窄。这正是刘易斯模型所预测的”二元经济结构消解”过程——只不过在中国，这一过程需要通过制度变迁来启动和加速。</w:t>
      </w:r>
    </w:p>
    <w:bookmarkEnd w:id="54"/>
    <w:bookmarkStart w:id="55" w:name="二收入分配路径构建三次分配协调体系"/>
    <w:p>
      <w:pPr>
        <w:pStyle w:val="Heading3"/>
      </w:pPr>
      <w:r>
        <w:t xml:space="preserve">（二）收入分配路径：构建”三次分配”协调体系</w:t>
      </w:r>
    </w:p>
    <w:p>
      <w:pPr>
        <w:pStyle w:val="FirstParagraph"/>
      </w:pPr>
      <w:r>
        <w:t xml:space="preserve">理论框架指出，城乡收入差距不仅取决于要素禀赋，也取决于要素报酬的分配规则。市场经济中的制度扭曲——如劳动力市场分割、资本市场准入限制、信息不对称等——导致要素报酬偏离边际产出，形成不合理的收入差距。共同富裕示范区建设从初次分配、再分配和三次分配三个层次推进收入分配改革，其政策逻辑是：通过构建三次分配协调配套的制度体系，矫正市场失灵导致的分配扭曲。</w:t>
      </w:r>
    </w:p>
    <w:p>
      <w:pPr>
        <w:pStyle w:val="BodyText"/>
      </w:pPr>
      <w:r>
        <w:t xml:space="preserve">初次分配层面，浙江省建立了最低工资标准动态调整机制，与经济增长和物价水平挂钩。2021年、2022年、2023年，浙江省最低工资标准分别调整为2070元、2160元、2280元（第一档），累计增幅达12.5%。最低工资标准的提高直接惠及低收入劳动者，特别是从事服务业和制造业的农村转移劳动力，对缩小城乡劳动报酬差距具有直接作用。</w:t>
      </w:r>
    </w:p>
    <w:p>
      <w:pPr>
        <w:pStyle w:val="BodyText"/>
      </w:pPr>
      <w:r>
        <w:t xml:space="preserve">再分配层面，财政转移支付向农村倾斜。2021—2023年，浙江省财政对农业农村的支出年均增长8.3%，高于一般公共预算支出增速。城乡居民基本养老保险基础养老金标准从每月180元提高至220元，增幅达22.2%。这些转移支付直接增加了农村居民的转移性收入，对缩小城乡收入差距发挥了”兜底”作用。</w:t>
      </w:r>
    </w:p>
    <w:p>
      <w:pPr>
        <w:pStyle w:val="BodyText"/>
      </w:pPr>
      <w:r>
        <w:t xml:space="preserve">三次分配层面，浙江省出台了《浙江省促进慈善事业健康发展的实施意见》，引导和规范慈善事业发展。2021—2023年，浙江省慈善捐赠总额累计超过200亿元，其中相当比例流向农村教育、医疗和扶贫领域。三次分配虽然规模有限，但其象征意义不可忽视——它体现了”先富带后富”的共同富裕理念，营造了全社会参与收入调节的良好氛围。</w:t>
      </w:r>
    </w:p>
    <w:p>
      <w:pPr>
        <w:pStyle w:val="BodyText"/>
      </w:pPr>
      <w:r>
        <w:t xml:space="preserve">三次分配协调配套的收入分配效应，体现在农村居民收入结构的变化上。浙江省统计年鉴显示，2020—2023年间，农村居民转移性收入占可支配收入的比重从18.2%提高至20.1%，表明再分配政策的力度在加强；工资性收入占比从48.5%提高至50.2%，表明农村劳动力获得了更多的非农就业机会。收入结构的优化，正是三次分配协调发力的结果。</w:t>
      </w:r>
    </w:p>
    <w:bookmarkEnd w:id="55"/>
    <w:bookmarkStart w:id="56" w:name="三能力发展路径破解代际贫困陷阱"/>
    <w:p>
      <w:pPr>
        <w:pStyle w:val="Heading3"/>
      </w:pPr>
      <w:r>
        <w:t xml:space="preserve">（三）能力发展路径：破解”代际贫困陷阱”</w:t>
      </w:r>
    </w:p>
    <w:p>
      <w:pPr>
        <w:pStyle w:val="FirstParagraph"/>
      </w:pPr>
      <w:r>
        <w:t xml:space="preserve">理论框架援引阿玛蒂亚·森的可行能力理论指出，贫困的本质不是收入低下，而是可行能力的剥夺。城乡公共服务的不均等，正是对农村居民发展能力的系统性剥夺，使其陷入”低人力资本—低收入—低人力资本投资”的代际贫困陷阱。共同富裕示范区建设将推进基本公共服务均等化作为关键举措，其政策逻辑是：通过提升农村居民的健康水平、教育程度和社会保障，增强其可行能力，使其有能力通过自身努力获得更高收入。</w:t>
      </w:r>
    </w:p>
    <w:p>
      <w:pPr>
        <w:pStyle w:val="BodyText"/>
      </w:pPr>
      <w:r>
        <w:t xml:space="preserve">教育领域的制度创新最为典型。浙江省实施城乡义务教育一体化发展工程，推进”互联网+教育”城乡共享，建立城乡教师交流轮岗制度。2021—2023年，浙江省累计投入农村教育资金超过500亿元，新建和改扩建农村学校超过1000所，乡村教师人均工资水平提高至城镇教师的95%以上。这些投入显著改善了农村教育条件，缩小了城乡教育质量差距。</w:t>
      </w:r>
    </w:p>
    <w:p>
      <w:pPr>
        <w:pStyle w:val="BodyText"/>
      </w:pPr>
      <w:r>
        <w:t xml:space="preserve">医疗领域同样取得实质性进展。浙江省全面推进县域医共体建设，实现县级医院与乡镇卫生院的人财物统一管理，推动优质医疗资源下沉。截至2023年底，浙江省82个县（市、区）全部建成县域医共体，远程医疗覆盖所有乡镇卫生院和村卫生室。农村居民在家门口就能享受优质医疗服务，</w:t>
      </w:r>
      <w:r>
        <w:t xml:space="preserve">“</w:t>
      </w:r>
      <w:r>
        <w:t xml:space="preserve">看病难、看病贵</w:t>
      </w:r>
      <w:r>
        <w:t xml:space="preserve">”</w:t>
      </w:r>
      <w:r>
        <w:t xml:space="preserve">问题得到有效缓解。</w:t>
      </w:r>
    </w:p>
    <w:p>
      <w:pPr>
        <w:pStyle w:val="BodyText"/>
      </w:pPr>
      <w:r>
        <w:t xml:space="preserve">社保领域的城乡统筹稳步推进。浙江省建立了城乡统一的基本医疗保险和养老保险制度，逐步缩小城乡待遇差距。2023年，浙江省城乡居民基本医疗保险人均筹资标准达到1800元以上，报销比例城乡基本一致。城乡居民养老保险基础养老金实现动态调整，与经济发展水平和物价变动挂钩。</w:t>
      </w:r>
    </w:p>
    <w:p>
      <w:pPr>
        <w:pStyle w:val="BodyText"/>
      </w:pPr>
      <w:r>
        <w:t xml:space="preserve">公共服务均等化的能力发展效应，虽然需要较长时间才能充分显现，但已有迹象表明其正在发挥作用。浙江省农村居民健康状况持续改善，预期寿命城乡差距缩小至1岁以内；农村劳动力受教育年限稳步提升，为其获得更高收入奠定了人力资本基础。这些变化，正是森所言的”可行能力扩展”的具体体现。</w:t>
      </w:r>
    </w:p>
    <w:bookmarkEnd w:id="56"/>
    <w:bookmarkStart w:id="57" w:name="四三条路径的协同作用制度变迁的乘数效应"/>
    <w:p>
      <w:pPr>
        <w:pStyle w:val="Heading3"/>
      </w:pPr>
      <w:r>
        <w:t xml:space="preserve">（四）三条路径的协同作用：制度变迁的”乘数效应”</w:t>
      </w:r>
    </w:p>
    <w:p>
      <w:pPr>
        <w:pStyle w:val="FirstParagraph"/>
      </w:pPr>
      <w:r>
        <w:t xml:space="preserve">需要强调的是，上述三条路径并非相互独立地发挥作用，而是相互交织、相互强化的。理论框架已经指出这一点，这里结合实证发现进一步阐发。</w:t>
      </w:r>
    </w:p>
    <w:p>
      <w:pPr>
        <w:pStyle w:val="BodyText"/>
      </w:pPr>
      <w:r>
        <w:t xml:space="preserve">首先，要素流动需要以公共服务均等化为前提。如果进城农民无法享受城市教育、医疗等公共服务，其市民化的意愿和能力都会受到抑制——他们可能选择”候鸟式”流动而非定居，或者将子女留在农村成为”留守儿童”。浙江省推进居住证与公共服务权利挂钩，正是打通了这一环节，使要素流动能够顺畅进行。</w:t>
      </w:r>
    </w:p>
    <w:p>
      <w:pPr>
        <w:pStyle w:val="BodyText"/>
      </w:pPr>
      <w:r>
        <w:t xml:space="preserve">其次，收入分配改革需要以要素流动为支撑。如果城乡劳动力市场依然分割，农村劳动力无法获得非农就业机会，那么即使再分配力度加大，效果也会大打折扣——</w:t>
      </w:r>
      <w:r>
        <w:t xml:space="preserve">“</w:t>
      </w:r>
      <w:r>
        <w:t xml:space="preserve">授人以鱼不如授人以渔</w:t>
      </w:r>
      <w:r>
        <w:t xml:space="preserve">”</w:t>
      </w:r>
      <w:r>
        <w:t xml:space="preserve">。浙江省深化户籍改革和产权改革，为农村劳动力创造了更多就业机会，使其能够通过自身努力获得更高收入，而不仅仅依赖转移支付。</w:t>
      </w:r>
    </w:p>
    <w:p>
      <w:pPr>
        <w:pStyle w:val="BodyText"/>
      </w:pPr>
      <w:r>
        <w:t xml:space="preserve">第三，能力发展既是要素流动的结果，也是收入提升的前提。进城农民获得了更好的教育和医疗机会，其人力资本和健康资本得到提升；而更高的人力资本又使其能够获得更高的劳动生产率和收入。这就形成了一个正向循环——能力提升→收入增长→能力投资→进一步收入增长。</w:t>
      </w:r>
    </w:p>
    <w:p>
      <w:pPr>
        <w:pStyle w:val="BodyText"/>
      </w:pPr>
      <w:r>
        <w:t xml:space="preserve">三条路径的协同作用，产生了制度变迁的”乘数效应”——单一路径的效果可能有限，但三条路径协同发力，其效果远大于简单加总。这也解释了为什么本文的实证发现显示政策效应随时间递增：随着三条路径的协同作用逐步展开，制度变迁的红利得到累积释放。</w:t>
      </w:r>
    </w:p>
    <w:bookmarkEnd w:id="57"/>
    <w:bookmarkStart w:id="58" w:name="五回到理论从制度锁定到制度解锁"/>
    <w:p>
      <w:pPr>
        <w:pStyle w:val="Heading3"/>
      </w:pPr>
      <w:r>
        <w:t xml:space="preserve">（五）回到理论：从”制度锁定”到”制度解锁”</w:t>
      </w:r>
    </w:p>
    <w:p>
      <w:pPr>
        <w:pStyle w:val="FirstParagraph"/>
      </w:pPr>
      <w:r>
        <w:t xml:space="preserve">以上机制分析，可以从理论上概括为从”制度锁定”到”制度解锁”的转变过程。理论框架援引诺斯的制度变迁理论指出，城乡二元结构之所以具有高度稳定性，是因为户籍制度、土地制度和公共服务供给制度相互交织、彼此强化，形成了”制度锁定”。打破这一锁定，需要系统性的制度变迁，而非单一政策的渐进调整。</w:t>
      </w:r>
    </w:p>
    <w:p>
      <w:pPr>
        <w:pStyle w:val="BodyText"/>
      </w:pPr>
      <w:r>
        <w:t xml:space="preserve">浙江共同富裕示范区建设的实践表明，</w:t>
      </w:r>
      <w:r>
        <w:t xml:space="preserve">“</w:t>
      </w:r>
      <w:r>
        <w:t xml:space="preserve">制度解锁</w:t>
      </w:r>
      <w:r>
        <w:t xml:space="preserve">”</w:t>
      </w:r>
      <w:r>
        <w:t xml:space="preserve">是可能的，但需要满足若干条件。第一，改革需要系统性推进，单一领域的改革难以撼动”制度锁定”的整体框架。第二，改革需要时间来释放红利，行为主体对新制度的适应需要学习过程。第三，改革需要中央授权和地方创新的有机结合——中央赋予浙江先行先试的政策空间，浙江发挥地方创新的积极性。</w:t>
      </w:r>
    </w:p>
    <w:p>
      <w:pPr>
        <w:pStyle w:val="BodyText"/>
      </w:pPr>
      <w:r>
        <w:t xml:space="preserve">这一发现回应了引言提出的核心理论问题：</w:t>
      </w:r>
      <w:r>
        <w:rPr>
          <w:bCs/>
          <w:b/>
        </w:rPr>
        <w:t xml:space="preserve">制度变量在”增长—分配”关系中究竟扮演何种角色？</w:t>
      </w:r>
      <w:r>
        <w:t xml:space="preserve">答案是，制度变量是连接增长与分配的关键中介。城乡收入差距的形成与固化源于”制度锁定”，而适当的”制度解锁”可以在保持经济增长的同时实现更公平的分配。库兹涅茨曲线之所以在一些国家和地区得到验证，在另一些国家和地区则被超越，关键差异可能就在于制度变迁的路径和速度。</w:t>
      </w:r>
    </w:p>
    <w:p>
      <w:pPr>
        <w:pStyle w:val="BodyText"/>
      </w:pPr>
      <w:r>
        <w:t xml:space="preserve">综上所述，制度变迁确实通过要素流动、收入分配、公共服务均等化三条路径协同作用于城乡收入差距，且三条路径相互交织、相互强化，产生了”乘数效应”。</w:t>
      </w:r>
      <w:r>
        <w:rPr>
          <w:bCs/>
          <w:b/>
        </w:rPr>
        <w:t xml:space="preserve">这一发现支持假说三：制度变迁主要通过三条路径发挥作用，且三条路径协同作用。</w:t>
      </w:r>
    </w:p>
    <w:p>
      <w:r>
        <w:pict>
          <v:rect style="width:0;height:1.5pt" o:hralign="center" o:hrstd="t" o:hr="t"/>
        </w:pict>
      </w:r>
    </w:p>
    <w:bookmarkEnd w:id="58"/>
    <w:bookmarkEnd w:id="59"/>
    <w:bookmarkStart w:id="64" w:name="七结论与启示"/>
    <w:p>
      <w:pPr>
        <w:pStyle w:val="Heading2"/>
      </w:pPr>
      <w:r>
        <w:t xml:space="preserve">七、结论与启示</w:t>
      </w:r>
    </w:p>
    <w:bookmarkStart w:id="60" w:name="一研究发现"/>
    <w:p>
      <w:pPr>
        <w:pStyle w:val="Heading3"/>
      </w:pPr>
      <w:r>
        <w:t xml:space="preserve">（一）研究发现</w:t>
      </w:r>
    </w:p>
    <w:p>
      <w:pPr>
        <w:pStyle w:val="FirstParagraph"/>
      </w:pPr>
      <w:r>
        <w:t xml:space="preserve">本文以浙江共同富裕示范区建设为准自然实验，运用合成控制法评估制度变迁对城乡收入差距的因果效应，得出以下主要发现：</w:t>
      </w:r>
    </w:p>
    <w:p>
      <w:pPr>
        <w:pStyle w:val="BodyText"/>
      </w:pPr>
      <w:r>
        <w:rPr>
          <w:bCs/>
          <w:b/>
        </w:rPr>
        <w:t xml:space="preserve">关于政策效应</w:t>
      </w:r>
      <w:r>
        <w:t xml:space="preserve">：共同富裕示范区建设显著缩小了城乡收入差距。政策实施后，浙江省城乡收入比平均下降0.106，相对降幅达4.64%。空间安慰剂检验的p值接近零，留一交叉验证、时间安慰剂检验等多重稳健性检验均支持这一结论。</w:t>
      </w:r>
    </w:p>
    <w:p>
      <w:pPr>
        <w:pStyle w:val="BodyText"/>
      </w:pPr>
      <w:r>
        <w:rPr>
          <w:bCs/>
          <w:b/>
        </w:rPr>
        <w:t xml:space="preserve">关于动态演变</w:t>
      </w:r>
      <w:r>
        <w:t xml:space="preserve">：政策效应呈现随时间递增的累积特征。效应从2021年的-0.111增强至2023年的-0.156，累计效应达-0.318，符合制度变迁红利需要时间释放的一般规律。</w:t>
      </w:r>
    </w:p>
    <w:p>
      <w:pPr>
        <w:pStyle w:val="BodyText"/>
      </w:pPr>
      <w:r>
        <w:rPr>
          <w:bCs/>
          <w:b/>
        </w:rPr>
        <w:t xml:space="preserve">关于作用机制</w:t>
      </w:r>
      <w:r>
        <w:t xml:space="preserve">：制度变迁通过要素流动、收入分配、能力发展三条路径缩小城乡差距，三条路径相互交织、协同作用，产生了”乘数效应”。</w:t>
      </w:r>
    </w:p>
    <w:p>
      <w:pPr>
        <w:pStyle w:val="BodyText"/>
      </w:pPr>
      <w:r>
        <w:t xml:space="preserve">本文的理论贡献在于揭示了制度变量在”增长—分配”关系中的关键中介作用——适当的制度安排可以打破城乡二元结构的锁定效应，超越库兹涅茨路径。方法论上，本文系统展示了合成控制法在省级政策评估中的应用范式。</w:t>
      </w:r>
    </w:p>
    <w:bookmarkEnd w:id="60"/>
    <w:bookmarkStart w:id="61" w:name="二政策启示"/>
    <w:p>
      <w:pPr>
        <w:pStyle w:val="Heading3"/>
      </w:pPr>
      <w:r>
        <w:t xml:space="preserve">（二）政策启示</w:t>
      </w:r>
    </w:p>
    <w:p>
      <w:pPr>
        <w:pStyle w:val="FirstParagraph"/>
      </w:pPr>
      <w:r>
        <w:rPr>
          <w:bCs/>
          <w:b/>
        </w:rPr>
        <w:t xml:space="preserve">核心启示：共同富裕的实现需要系统性的制度变迁，而非单一政策的渐进调整。</w:t>
      </w:r>
      <w:r>
        <w:t xml:space="preserve">城乡收入差距源于户籍制度、土地制度、公共服务供给制度的制度锁定，单一领域的改革难以撼动整体框架，必须统筹推进多领域改革形成合力。</w:t>
      </w:r>
    </w:p>
    <w:p>
      <w:pPr>
        <w:pStyle w:val="BodyText"/>
      </w:pPr>
      <w:r>
        <w:rPr>
          <w:bCs/>
          <w:b/>
        </w:rPr>
        <w:t xml:space="preserve">要点一</w:t>
      </w:r>
      <w:r>
        <w:t xml:space="preserve">：政策设计应保持战略定力，给予制度变迁充足的时间窗口，避免因短期效果不彰而频繁调整方向。</w:t>
      </w:r>
    </w:p>
    <w:p>
      <w:pPr>
        <w:pStyle w:val="BodyText"/>
      </w:pPr>
      <w:r>
        <w:rPr>
          <w:bCs/>
          <w:b/>
        </w:rPr>
        <w:t xml:space="preserve">要点二</w:t>
      </w:r>
      <w:r>
        <w:t xml:space="preserve">：浙江经验的内在逻辑具有普遍适用性，但推广应因地制宜，结合地方实际探索差异化路径。</w:t>
      </w:r>
    </w:p>
    <w:p>
      <w:pPr>
        <w:pStyle w:val="BodyText"/>
      </w:pPr>
      <w:r>
        <w:rPr>
          <w:bCs/>
          <w:b/>
        </w:rPr>
        <w:t xml:space="preserve">要点三</w:t>
      </w:r>
      <w:r>
        <w:t xml:space="preserve">：建立政策效果的动态评估机制，运用合成控制法等现代因果推断方法为政策调整提供实证依据。</w:t>
      </w:r>
    </w:p>
    <w:bookmarkEnd w:id="61"/>
    <w:bookmarkStart w:id="63" w:name="三研究局限"/>
    <w:p>
      <w:pPr>
        <w:pStyle w:val="Heading3"/>
      </w:pPr>
      <w:r>
        <w:t xml:space="preserve">（三）研究局限</w:t>
      </w:r>
    </w:p>
    <w:p>
      <w:pPr>
        <w:pStyle w:val="FirstParagraph"/>
      </w:pPr>
      <w:r>
        <w:t xml:space="preserve">本文存在若干局限：政策实施时间较短（3年），长期效应仍需跟踪；主要关注城乡收入差距这一物质维度，未涵盖共同富裕的多维内涵</w:t>
      </w:r>
      <w:r>
        <w:rPr>
          <w:rStyle w:val="FootnoteReference"/>
        </w:rPr>
        <w:footnoteReference w:id="62"/>
      </w:r>
      <w:r>
        <w:t xml:space="preserve">；机制分析缺乏微观数据的直接检验；聚焦浙江单一案例，未进行跨省比较。</w:t>
      </w:r>
    </w:p>
    <w:p>
      <w:pPr>
        <w:pStyle w:val="BodyText"/>
      </w:pPr>
      <w:r>
        <w:t xml:space="preserve">尽管如此，本文的核心发现——</w:t>
      </w:r>
      <w:r>
        <w:rPr>
          <w:bCs/>
          <w:b/>
        </w:rPr>
        <w:t xml:space="preserve">制度变迁能够驱动共同富裕，打破城乡二元结构的制度锁定</w:t>
      </w:r>
      <w:r>
        <w:t xml:space="preserve">——对于理解中国的收入分配格局和设计共同富裕政策，仍具有重要参考价值。增长与分配并非不可调和的矛盾，制度变迁为超越库兹涅茨曲线提供了可能的路径。</w:t>
      </w:r>
    </w:p>
    <w:p>
      <w:r>
        <w:pict>
          <v:rect style="width:0;height:1.5pt" o:hralign="center" o:hrstd="t" o:hr="t"/>
        </w:pict>
      </w:r>
    </w:p>
    <w:p>
      <w:pPr>
        <w:pStyle w:val="FirstParagraph"/>
      </w:pPr>
      <w:r>
        <w:rPr>
          <w:bCs/>
          <w:b/>
        </w:rPr>
        <w:t xml:space="preserve">[全文完]</w:t>
      </w:r>
    </w:p>
    <w:p>
      <w:r>
        <w:pict>
          <v:rect style="width:0;height:1.5pt" o:hralign="center" o:hrstd="t" o:hr="t"/>
        </w:pic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Kuznets, S. (1955). Economic Growth and Income Inequality.</w:t>
      </w:r>
      <w:r>
        <w:t xml:space="preserve"> </w:t>
      </w:r>
      <w:r>
        <w:rPr>
          <w:iCs/>
          <w:i/>
        </w:rPr>
        <w:t xml:space="preserve">American Economic Review</w:t>
      </w:r>
      <w:r>
        <w:t xml:space="preserve">, 45(1), 1-28.</w:t>
      </w:r>
    </w:p>
  </w:footnote>
  <w:footnote w:id="22">
    <w:p>
      <w:pPr>
        <w:pStyle w:val="FootnoteText"/>
      </w:pPr>
      <w:r>
        <w:rPr>
          <w:rStyle w:val="FootnoteReference"/>
        </w:rPr>
        <w:footnoteRef/>
      </w:r>
      <w:r>
        <w:t xml:space="preserve"> </w:t>
      </w:r>
      <w:r>
        <w:t xml:space="preserve">Piketty, T. (2014).</w:t>
      </w:r>
      <w:r>
        <w:t xml:space="preserve"> </w:t>
      </w:r>
      <w:r>
        <w:rPr>
          <w:iCs/>
          <w:i/>
        </w:rPr>
        <w:t xml:space="preserve">Capital in the Twenty-First Century</w:t>
      </w:r>
      <w:r>
        <w:t xml:space="preserve">. Harvard University Press.</w:t>
      </w:r>
    </w:p>
  </w:footnote>
  <w:footnote w:id="23">
    <w:p>
      <w:pPr>
        <w:pStyle w:val="FootnoteText"/>
      </w:pPr>
      <w:r>
        <w:rPr>
          <w:rStyle w:val="FootnoteReference"/>
        </w:rPr>
        <w:footnoteRef/>
      </w:r>
      <w:r>
        <w:t xml:space="preserve"> </w:t>
      </w:r>
      <w:r>
        <w:t xml:space="preserve">World Bank. (1993).</w:t>
      </w:r>
      <w:r>
        <w:t xml:space="preserve"> </w:t>
      </w:r>
      <w:r>
        <w:rPr>
          <w:iCs/>
          <w:i/>
        </w:rPr>
        <w:t xml:space="preserve">The East Asian Miracle: Economic Growth and Public Policy</w:t>
      </w:r>
      <w:r>
        <w:t xml:space="preserve">. Oxford University Press.</w:t>
      </w:r>
    </w:p>
  </w:footnote>
  <w:footnote w:id="24">
    <w:p>
      <w:pPr>
        <w:pStyle w:val="FootnoteText"/>
      </w:pPr>
      <w:r>
        <w:rPr>
          <w:rStyle w:val="FootnoteReference"/>
        </w:rPr>
        <w:footnoteRef/>
      </w:r>
      <w:r>
        <w:t xml:space="preserve"> </w:t>
      </w:r>
      <w:r>
        <w:t xml:space="preserve">North, D. C. (1990).</w:t>
      </w:r>
      <w:r>
        <w:t xml:space="preserve"> </w:t>
      </w:r>
      <w:r>
        <w:rPr>
          <w:iCs/>
          <w:i/>
        </w:rPr>
        <w:t xml:space="preserve">Institutions, Institutional Change and Economic Performance</w:t>
      </w:r>
      <w:r>
        <w:t xml:space="preserve">. Cambridge University Press.</w:t>
      </w:r>
    </w:p>
  </w:footnote>
  <w:footnote w:id="25">
    <w:p>
      <w:pPr>
        <w:pStyle w:val="FootnoteText"/>
      </w:pPr>
      <w:r>
        <w:rPr>
          <w:rStyle w:val="FootnoteReference"/>
        </w:rPr>
        <w:footnoteRef/>
      </w:r>
      <w:r>
        <w:t xml:space="preserve"> </w:t>
      </w:r>
      <w:r>
        <w:t xml:space="preserve">陆铭. (2016).</w:t>
      </w:r>
      <w:r>
        <w:t xml:space="preserve"> </w:t>
      </w:r>
      <w:r>
        <w:rPr>
          <w:iCs/>
          <w:i/>
        </w:rPr>
        <w:t xml:space="preserve">大国大城：当代中国的统一、发展与平衡</w:t>
      </w:r>
      <w:r>
        <w:t xml:space="preserve">. 上海人民出版社.</w:t>
      </w:r>
    </w:p>
  </w:footnote>
  <w:footnote w:id="27">
    <w:p>
      <w:pPr>
        <w:pStyle w:val="FootnoteText"/>
      </w:pPr>
      <w:r>
        <w:rPr>
          <w:rStyle w:val="FootnoteReference"/>
        </w:rPr>
        <w:footnoteRef/>
      </w:r>
      <w:r>
        <w:t xml:space="preserve"> </w:t>
      </w:r>
      <w:r>
        <w:t xml:space="preserve">Lewis, W. A. (1954). Economic Development with Unlimited Supplies of Labour.</w:t>
      </w:r>
      <w:r>
        <w:t xml:space="preserve"> </w:t>
      </w:r>
      <w:r>
        <w:rPr>
          <w:iCs/>
          <w:i/>
        </w:rPr>
        <w:t xml:space="preserve">The Manchester School</w:t>
      </w:r>
      <w:r>
        <w:t xml:space="preserve">, 22(2), 139-191.</w:t>
      </w:r>
    </w:p>
  </w:footnote>
  <w:footnote w:id="28">
    <w:p>
      <w:pPr>
        <w:pStyle w:val="FootnoteText"/>
      </w:pPr>
      <w:r>
        <w:rPr>
          <w:rStyle w:val="FootnoteReference"/>
        </w:rPr>
        <w:footnoteRef/>
      </w:r>
      <w:r>
        <w:t xml:space="preserve"> </w:t>
      </w:r>
      <w:r>
        <w:t xml:space="preserve">蔡昉. (2011). 中国经济发展的刘易斯转折点.</w:t>
      </w:r>
      <w:r>
        <w:t xml:space="preserve"> </w:t>
      </w:r>
      <w:r>
        <w:rPr>
          <w:iCs/>
          <w:i/>
        </w:rPr>
        <w:t xml:space="preserve">中国人口科学</w:t>
      </w:r>
      <w:r>
        <w:t xml:space="preserve">, (2), 2-10.</w:t>
      </w:r>
    </w:p>
  </w:footnote>
  <w:footnote w:id="29">
    <w:p>
      <w:pPr>
        <w:pStyle w:val="FootnoteText"/>
      </w:pPr>
      <w:r>
        <w:rPr>
          <w:rStyle w:val="FootnoteReference"/>
        </w:rPr>
        <w:footnoteRef/>
      </w:r>
      <w:r>
        <w:t xml:space="preserve"> </w:t>
      </w:r>
      <w:r>
        <w:t xml:space="preserve">黄宇虹, 樊纲治. (2017). 农村土地制度改革与新型城镇化.</w:t>
      </w:r>
      <w:r>
        <w:t xml:space="preserve"> </w:t>
      </w:r>
      <w:r>
        <w:rPr>
          <w:iCs/>
          <w:i/>
        </w:rPr>
        <w:t xml:space="preserve">农业技术经济</w:t>
      </w:r>
      <w:r>
        <w:t xml:space="preserve">, (6), 52-64.</w:t>
      </w:r>
    </w:p>
  </w:footnote>
  <w:footnote w:id="30">
    <w:p>
      <w:pPr>
        <w:pStyle w:val="FootnoteText"/>
      </w:pPr>
      <w:r>
        <w:rPr>
          <w:rStyle w:val="FootnoteReference"/>
        </w:rPr>
        <w:footnoteRef/>
      </w:r>
      <w:r>
        <w:t xml:space="preserve"> </w:t>
      </w:r>
      <w:r>
        <w:t xml:space="preserve">Sen, A. (1999).</w:t>
      </w:r>
      <w:r>
        <w:t xml:space="preserve"> </w:t>
      </w:r>
      <w:r>
        <w:rPr>
          <w:iCs/>
          <w:i/>
        </w:rPr>
        <w:t xml:space="preserve">Development as Freedom</w:t>
      </w:r>
      <w:r>
        <w:t xml:space="preserve">. Oxford University Press.</w:t>
      </w:r>
    </w:p>
  </w:footnote>
  <w:footnote w:id="35">
    <w:p>
      <w:pPr>
        <w:pStyle w:val="FootnoteText"/>
      </w:pPr>
      <w:r>
        <w:rPr>
          <w:rStyle w:val="FootnoteReference"/>
        </w:rPr>
        <w:footnoteRef/>
      </w:r>
      <w:r>
        <w:t xml:space="preserve"> </w:t>
      </w:r>
      <w:r>
        <w:t xml:space="preserve">Holland, P. W. (1986). Statistics and Causal Inference.</w:t>
      </w:r>
      <w:r>
        <w:t xml:space="preserve"> </w:t>
      </w:r>
      <w:r>
        <w:rPr>
          <w:iCs/>
          <w:i/>
        </w:rPr>
        <w:t xml:space="preserve">Journal of the American Statistical Association</w:t>
      </w:r>
      <w:r>
        <w:t xml:space="preserve">, 81(396), 945-960.</w:t>
      </w:r>
    </w:p>
  </w:footnote>
  <w:footnote w:id="36">
    <w:p>
      <w:pPr>
        <w:pStyle w:val="FootnoteText"/>
      </w:pPr>
      <w:r>
        <w:rPr>
          <w:rStyle w:val="FootnoteReference"/>
        </w:rPr>
        <w:footnoteRef/>
      </w:r>
      <w:r>
        <w:t xml:space="preserve"> </w:t>
      </w:r>
      <w:r>
        <w:t xml:space="preserve">Abadie, A., &amp; Gardeazabal, J. (2003). The Economic Costs of Conflict: A Case Study of the Basque Country.</w:t>
      </w:r>
      <w:r>
        <w:t xml:space="preserve"> </w:t>
      </w:r>
      <w:r>
        <w:rPr>
          <w:iCs/>
          <w:i/>
        </w:rPr>
        <w:t xml:space="preserve">American Economic Review</w:t>
      </w:r>
      <w:r>
        <w:t xml:space="preserve">, 93(1), 113-132.</w:t>
      </w:r>
    </w:p>
  </w:footnote>
  <w:footnote w:id="37">
    <w:p>
      <w:pPr>
        <w:pStyle w:val="FootnoteText"/>
      </w:pPr>
      <w:r>
        <w:rPr>
          <w:rStyle w:val="FootnoteReference"/>
        </w:rPr>
        <w:footnoteRef/>
      </w:r>
      <w:r>
        <w:t xml:space="preserve"> </w:t>
      </w:r>
      <w:r>
        <w:t xml:space="preserve">Abadie, A., Diamond, A., &amp; Hainmueller, J. (2010). Synthetic Control Methods for Comparative Case Studies: Estimating the Effect of California’s Tobacco Control Program.</w:t>
      </w:r>
      <w:r>
        <w:t xml:space="preserve"> </w:t>
      </w:r>
      <w:r>
        <w:rPr>
          <w:iCs/>
          <w:i/>
        </w:rPr>
        <w:t xml:space="preserve">Journal of the American Statistical Association</w:t>
      </w:r>
      <w:r>
        <w:t xml:space="preserve">, 105(490), 493-505; Abadie, A., Diamond, A., &amp; Hainmueller, J. (2015). Comparative Politics and the Synthetic Control Method.</w:t>
      </w:r>
      <w:r>
        <w:t xml:space="preserve"> </w:t>
      </w:r>
      <w:r>
        <w:rPr>
          <w:iCs/>
          <w:i/>
        </w:rPr>
        <w:t xml:space="preserve">American Journal of Political Science</w:t>
      </w:r>
      <w:r>
        <w:t xml:space="preserve">, 59(2), 495-510; Abadie, A. (2021). Using Synthetic Controls: Feasibility, Data Requirements, and Methodological Aspects.</w:t>
      </w:r>
      <w:r>
        <w:t xml:space="preserve"> </w:t>
      </w:r>
      <w:r>
        <w:rPr>
          <w:iCs/>
          <w:i/>
        </w:rPr>
        <w:t xml:space="preserve">Journal of Economic Literature</w:t>
      </w:r>
      <w:r>
        <w:t xml:space="preserve">, 59(2), 391-425.</w:t>
      </w:r>
    </w:p>
  </w:footnote>
  <w:footnote w:id="46">
    <w:p>
      <w:pPr>
        <w:pStyle w:val="FootnoteText"/>
      </w:pPr>
      <w:r>
        <w:rPr>
          <w:rStyle w:val="FootnoteReference"/>
        </w:rPr>
        <w:footnoteRef/>
      </w:r>
      <w:r>
        <w:t xml:space="preserve"> </w:t>
      </w:r>
      <w:r>
        <w:t xml:space="preserve">Abadie, A., Diamond, A., &amp; Hainmueller, J. (2015). Comparative Politics and the Synthetic Control Method.</w:t>
      </w:r>
      <w:r>
        <w:t xml:space="preserve"> </w:t>
      </w:r>
      <w:r>
        <w:rPr>
          <w:iCs/>
          <w:i/>
        </w:rPr>
        <w:t xml:space="preserve">American Journal of Political Science</w:t>
      </w:r>
      <w:r>
        <w:t xml:space="preserve">, 59(2), 495-510.</w:t>
      </w:r>
    </w:p>
  </w:footnote>
  <w:footnote w:id="51">
    <w:p>
      <w:pPr>
        <w:pStyle w:val="FootnoteText"/>
      </w:pPr>
      <w:r>
        <w:rPr>
          <w:rStyle w:val="FootnoteReference"/>
        </w:rPr>
        <w:footnoteRef/>
      </w:r>
      <w:r>
        <w:t xml:space="preserve"> </w:t>
      </w:r>
      <w:r>
        <w:t xml:space="preserve">Abadie, A. (2021). Using Synthetic Controls: Feasibility, Data Requirements, and Methodological Aspects.</w:t>
      </w:r>
      <w:r>
        <w:t xml:space="preserve"> </w:t>
      </w:r>
      <w:r>
        <w:rPr>
          <w:iCs/>
          <w:i/>
        </w:rPr>
        <w:t xml:space="preserve">Journal of Economic Literature</w:t>
      </w:r>
      <w:r>
        <w:t xml:space="preserve">, 59(2), 391-425.</w:t>
      </w:r>
    </w:p>
  </w:footnote>
  <w:footnote w:id="62">
    <w:p>
      <w:pPr>
        <w:pStyle w:val="FootnoteText"/>
      </w:pPr>
      <w:r>
        <w:rPr>
          <w:rStyle w:val="FootnoteReference"/>
        </w:rPr>
        <w:footnoteRef/>
      </w:r>
      <w:r>
        <w:t xml:space="preserve"> </w:t>
      </w:r>
      <w:r>
        <w:t xml:space="preserve">刘培林, 钱滔, 黄先海, 董雪兵. (2021). 共同富裕的内涵、实现路径与测度方法.</w:t>
      </w:r>
      <w:r>
        <w:t xml:space="preserve"> </w:t>
      </w:r>
      <w:r>
        <w:rPr>
          <w:iCs/>
          <w:i/>
        </w:rPr>
        <w:t xml:space="preserve">管理世界</w:t>
      </w:r>
      <w:r>
        <w:t xml:space="preserve">, (8), 117-129.</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2026-01-19T14:49:00Z</dcterms:created>
  <dcterms:modified xsi:type="dcterms:W3CDTF">2026-01-19T14:49:00Z</dcterms:modified>
</cp:coreProperties>
</file>

<file path=docProps/custom.xml><?xml version="1.0" encoding="utf-8"?>
<Properties xmlns="http://schemas.openxmlformats.org/officeDocument/2006/custom-properties" xmlns:vt="http://schemas.openxmlformats.org/officeDocument/2006/docPropsVTypes"/>
</file>