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Non-Additive Coupling in Strain-Doped Graphullerenes: A New Paradigm for Quantum Transport Engineering</w:t>
      </w:r>
    </w:p>
    <w:p>
      <w:pPr>
        <w:pStyle w:val="Author"/>
      </w:pPr>
      <w:r>
        <w:t xml:space="preserve">Xingqiang Chen</w:t>
      </w:r>
    </w:p>
    <w:p>
      <w:pPr>
        <w:pStyle w:val="Author"/>
      </w:pPr>
      <w:r>
        <w:t xml:space="preserve">Qixing Wang</w:t>
      </w:r>
    </w:p>
    <w:p>
      <w:pPr>
        <w:pStyle w:val="Date"/>
      </w:pPr>
      <w:r>
        <w:t xml:space="preserve">2025-11-20</w:t>
      </w:r>
    </w:p>
    <w:p>
      <w:pPr>
        <w:pStyle w:val="AbstractTitle"/>
      </w:pPr>
      <w:r>
        <w:t xml:space="preserve">Abstract</w:t>
      </w:r>
    </w:p>
    <w:p>
      <w:pPr>
        <w:pStyle w:val="Abstract"/>
      </w:pPr>
      <w:r>
        <w:t xml:space="preserve">We report the discovery of non-additive coupling between heteroatom doping and mechanical strain in two-dimensional graphullerene networks that fundamentally alters quantum transport properties. Through first-principles calculations on B/N/P-doped quasi-hexagonal C</w:t>
      </w:r>
      <m:oMath>
        <m:sSub>
          <m:e>
            <m:r>
              <m:t>​</m:t>
            </m:r>
          </m:e>
          <m:sub>
            <m:r>
              <m:t>60</m:t>
            </m:r>
          </m:sub>
        </m:sSub>
      </m:oMath>
      <w:r>
        <w:t xml:space="preserve"> </w:t>
      </w:r>
      <w:r>
        <w:t xml:space="preserve">networks under biaxial strain, we demonstrate that combined chemical and mechanical modification produces synergistic effects far exceeding simple superposition. Electron mobility reaches 21.4 cm</w:t>
      </w:r>
      <m:oMath>
        <m:sSup>
          <m:e>
            <m:r>
              <m:t>​</m:t>
            </m:r>
          </m:e>
          <m:sup>
            <m:r>
              <m:t>2</m:t>
            </m:r>
          </m:sup>
        </m:sSup>
      </m:oMath>
      <w:r>
        <w:t xml:space="preserve">V</w:t>
      </w:r>
      <m:oMath>
        <m:sSup>
          <m:e>
            <m:r>
              <m:t>​</m:t>
            </m:r>
          </m:e>
          <m:sup>
            <m:r>
              <m:rPr>
                <m:sty m:val="p"/>
              </m:rPr>
              <m:t>−</m:t>
            </m:r>
            <m:r>
              <m:t>1</m:t>
            </m:r>
          </m:sup>
        </m:sSup>
      </m:oMath>
      <w:r>
        <w:t xml:space="preserve">s</w:t>
      </w:r>
      <m:oMath>
        <m:sSup>
          <m:e>
            <m:r>
              <m:t>​</m:t>
            </m:r>
          </m:e>
          <m:sup>
            <m:r>
              <m:rPr>
                <m:sty m:val="p"/>
              </m:rPr>
              <m:t>−</m:t>
            </m:r>
            <m:r>
              <m:t>1</m:t>
            </m:r>
          </m:sup>
        </m:sSup>
      </m:oMath>
      <w:r>
        <w:t xml:space="preserve">—a 300% enhancement over pristine networks—while band gaps become continuously tunable across 1.2-2.4 eV. The key discovery is a transition from small polaron hopping to large polaron band-like conduction, with activation energies reduced by 50% (0.18 to 0.09 eV). This non-additive coupling mechanism, validated by machine learning predictions on 500+ configurations, establishes a new paradigm for engineering quantum materials with dynamically reconfigurable properties through simultaneous control of electronic structure and lattice geometry.</w:t>
      </w:r>
    </w:p>
    <w:bookmarkStart w:id="21" w:name="introduction"/>
    <w:p>
      <w:pPr>
        <w:pStyle w:val="Heading1"/>
      </w:pPr>
      <w:r>
        <w:rPr>
          <w:rStyle w:val="SectionNumber"/>
        </w:rPr>
        <w:t xml:space="preserve">1</w:t>
      </w:r>
      <w:r>
        <w:tab/>
      </w:r>
      <w:bookmarkStart w:id="20" w:name="sec:intro"/>
      <w:bookmarkEnd w:id="20"/>
      <w:r>
        <w:t xml:space="preserve">Introduction</w:t>
      </w:r>
    </w:p>
    <w:p>
      <w:pPr>
        <w:pStyle w:val="FirstParagraph"/>
      </w:pPr>
      <w:r>
        <w:t xml:space="preserve">The quest for quantum materials with dynamically tunable properties represents a fundamental challenge in condensed matter physics. While individual modification strategies—chemical doping or mechanical strain—can alter electronic properties, achieving simultaneous control over multiple parameters remains elusive. This limitation becomes critical for applications requiring continuous property modulation, such as flexible electronics, adaptive sensors, and reconfigurable quantum devices.</w:t>
      </w:r>
    </w:p>
    <w:p>
      <w:pPr>
        <w:pStyle w:val="BodyText"/>
      </w:pPr>
      <w:r>
        <w:t xml:space="preserve">Graphullerenes, two-dimensional networks of quasi-hexagonal phase (qHP) C</w:t>
      </w:r>
      <m:oMath>
        <m:sSub>
          <m:e>
            <m:r>
              <m:t>​</m:t>
            </m:r>
          </m:e>
          <m:sub>
            <m:r>
              <m:t>60</m:t>
            </m:r>
          </m:sub>
        </m:sSub>
      </m:oMath>
      <w:r>
        <w:t xml:space="preserve"> </w:t>
      </w:r>
      <w:r>
        <w:t xml:space="preserve">molecules, offer a unique platform for addressing this challenge </w:t>
      </w:r>
      <w:r>
        <w:t xml:space="preserve">. These materials combine the molecular properties of fullerenes with extended 2D connectivity, exhibiting electron mobility exceeding conventional fullerene crystals by two orders of magnitude </w:t>
      </w:r>
      <w:r>
        <w:t xml:space="preserve">. Recent studies have revealed that charge transport in these systems is governed by polaron formation and intermolecular coupling, suggesting that simultaneous manipulation of electronic structure and lattice geometry could unlock unprecedented control </w:t>
      </w:r>
      <w:r>
        <w:t xml:space="preserve">.</w:t>
      </w:r>
    </w:p>
    <w:p>
      <w:pPr>
        <w:pStyle w:val="BodyText"/>
      </w:pPr>
      <w:r>
        <w:t xml:space="preserve">The fundamental physics question we address is: Can chemical modification and mechanical strain be combined to produce synergistic effects that exceed simple superposition? While heteroatom doping modifies electronic structure through</w:t>
      </w:r>
      <w:r>
        <w:t xml:space="preserve"> </w:t>
      </w:r>
      <m:oMath>
        <m:r>
          <m:t>π</m:t>
        </m:r>
      </m:oMath>
      <w:r>
        <w:t xml:space="preserve">-electron perturbation </w:t>
      </w:r>
      <w:r>
        <w:t xml:space="preserve">, and mechanical strain provides reversible lattice deformation </w:t>
      </w:r>
      <w:r>
        <w:t xml:space="preserve">, their combined application in graphullerene networks remains unexplored despite theoretical predictions of strong non-linear coupling </w:t>
      </w:r>
      <w:r>
        <w:t xml:space="preserve">.</w:t>
      </w:r>
    </w:p>
    <w:p>
      <w:pPr>
        <w:pStyle w:val="BodyText"/>
      </w:pPr>
      <w:r>
        <w:t xml:space="preserve">Here we report the discovery of non-additive coupling between heteroatom doping and mechanical strain that fundamentally alters quantum transport properties. Using first-principles density functional theory calculations on B/N/P-doped qHP C</w:t>
      </w:r>
      <m:oMath>
        <m:sSub>
          <m:e>
            <m:r>
              <m:t>​</m:t>
            </m:r>
          </m:e>
          <m:sub>
            <m:r>
              <m:t>60</m:t>
            </m:r>
          </m:sub>
        </m:sSub>
      </m:oMath>
      <w:r>
        <w:t xml:space="preserve"> </w:t>
      </w:r>
      <w:r>
        <w:t xml:space="preserve">networks under biaxial strain, we demonstrate that combined modification produces synergistic effects far exceeding individual contributions. The key finding is a transition from small polaron hopping to large polaron band-like conduction, with electron mobility reaching 21.4 cm</w:t>
      </w:r>
      <m:oMath>
        <m:sSup>
          <m:e>
            <m:r>
              <m:t>​</m:t>
            </m:r>
          </m:e>
          <m:sup>
            <m:r>
              <m:t>2</m:t>
            </m:r>
          </m:sup>
        </m:sSup>
      </m:oMath>
      <w:r>
        <w:t xml:space="preserve">V</w:t>
      </w:r>
      <m:oMath>
        <m:sSup>
          <m:e>
            <m:r>
              <m:t>​</m:t>
            </m:r>
          </m:e>
          <m:sup>
            <m:r>
              <m:rPr>
                <m:sty m:val="p"/>
              </m:rPr>
              <m:t>−</m:t>
            </m:r>
            <m:r>
              <m:t>1</m:t>
            </m:r>
          </m:sup>
        </m:sSup>
      </m:oMath>
      <w:r>
        <w:t xml:space="preserve">s</w:t>
      </w:r>
      <m:oMath>
        <m:sSup>
          <m:e>
            <m:r>
              <m:t>​</m:t>
            </m:r>
          </m:e>
          <m:sup>
            <m:r>
              <m:rPr>
                <m:sty m:val="p"/>
              </m:rPr>
              <m:t>−</m:t>
            </m:r>
            <m:r>
              <m:t>1</m:t>
            </m:r>
          </m:sup>
        </m:sSup>
      </m:oMath>
      <w:r>
        <w:t xml:space="preserve">—a 300% enhancement over pristine networks. This discovery establishes a new paradigm for engineering quantum materials with dynamically reconfigurable properties through simultaneous control of electronic structure and lattice geometry.</w:t>
      </w:r>
    </w:p>
    <w:bookmarkEnd w:id="21"/>
    <w:bookmarkStart w:id="23" w:name="computational-methods"/>
    <w:p>
      <w:pPr>
        <w:pStyle w:val="Heading1"/>
      </w:pPr>
      <w:r>
        <w:rPr>
          <w:rStyle w:val="SectionNumber"/>
        </w:rPr>
        <w:t xml:space="preserve">2</w:t>
      </w:r>
      <w:r>
        <w:tab/>
      </w:r>
      <w:bookmarkStart w:id="22" w:name="sec:methods"/>
      <w:bookmarkEnd w:id="22"/>
      <w:r>
        <w:t xml:space="preserve">Computational Methods</w:t>
      </w:r>
    </w:p>
    <w:p>
      <w:pPr>
        <w:pStyle w:val="FirstParagraph"/>
      </w:pPr>
      <w:r>
        <w:t xml:space="preserve">Electronic structure calculations were performed using CP2K with the Perdew-Burke-Ernzerhof (PBE) exchange-correlation functional augmented with rVV10 non-local correlation </w:t>
      </w:r>
      <w:r>
        <w:t xml:space="preserve">. Koopmans-compliant hybrid functionals were employed to eliminate self-interaction errors and accurately describe polaron formation energies </w:t>
      </w:r>
      <w:r>
        <w:t xml:space="preserve">.</w:t>
      </w:r>
    </w:p>
    <w:p>
      <w:pPr>
        <w:pStyle w:val="BodyText"/>
      </w:pPr>
      <w:r>
        <w:t xml:space="preserve">The non-additive coupling mechanism is derived from first principles through the effective Hamiltonian</w:t>
      </w:r>
    </w:p>
    <w:p>
      <w:pPr>
        <w:pStyle w:val="BodyText"/>
      </w:pPr>
      <m:oMathPara>
        <m:oMathParaPr>
          <m:jc m:val="center"/>
        </m:oMathParaPr>
        <m:oMath>
          <m:sSub>
            <m:e>
              <m:r>
                <m:t>H</m:t>
              </m:r>
            </m:e>
            <m:sub>
              <m:r>
                <m:t>e</m:t>
              </m:r>
              <m:r>
                <m:t>f</m:t>
              </m:r>
              <m:r>
                <m:t>f</m:t>
              </m:r>
            </m:sub>
          </m:sSub>
          <m:r>
            <m:rPr>
              <m:sty m:val="p"/>
            </m:rPr>
            <m:t>=</m:t>
          </m:r>
          <m:sSub>
            <m:e>
              <m:r>
                <m:t>H</m:t>
              </m:r>
            </m:e>
            <m:sub>
              <m:r>
                <m:t>0</m:t>
              </m:r>
            </m:sub>
          </m:sSub>
          <m:r>
            <m:rPr>
              <m:sty m:val="p"/>
            </m:rPr>
            <m:t>+</m:t>
          </m:r>
          <m:sSub>
            <m:e>
              <m:r>
                <m:t>V</m:t>
              </m:r>
            </m:e>
            <m:sub>
              <m:r>
                <m:t>d</m:t>
              </m:r>
              <m:r>
                <m:t>o</m:t>
              </m:r>
              <m:r>
                <m:t>p</m:t>
              </m:r>
              <m:r>
                <m:t>i</m:t>
              </m:r>
              <m:r>
                <m:t>n</m:t>
              </m:r>
              <m:r>
                <m:t>g</m:t>
              </m:r>
            </m:sub>
          </m:sSub>
          <m:r>
            <m:rPr>
              <m:sty m:val="p"/>
            </m:rPr>
            <m:t>+</m:t>
          </m:r>
          <m:sSub>
            <m:e>
              <m:r>
                <m:t>V</m:t>
              </m:r>
            </m:e>
            <m:sub>
              <m:r>
                <m:t>s</m:t>
              </m:r>
              <m:r>
                <m:t>t</m:t>
              </m:r>
              <m:r>
                <m:t>r</m:t>
              </m:r>
              <m:r>
                <m:t>a</m:t>
              </m:r>
              <m:r>
                <m:t>i</m:t>
              </m:r>
              <m:r>
                <m:t>n</m:t>
              </m:r>
            </m:sub>
          </m:sSub>
          <m:r>
            <m:rPr>
              <m:sty m:val="p"/>
            </m:rPr>
            <m:t>+</m:t>
          </m:r>
          <m:sSub>
            <m:e>
              <m:r>
                <m:t>V</m:t>
              </m:r>
            </m:e>
            <m:sub>
              <m:r>
                <m:t>c</m:t>
              </m:r>
              <m:r>
                <m:t>o</m:t>
              </m:r>
              <m:r>
                <m:t>u</m:t>
              </m:r>
              <m:r>
                <m:t>p</m:t>
              </m:r>
              <m:r>
                <m:t>l</m:t>
              </m:r>
              <m:r>
                <m:t>i</m:t>
              </m:r>
              <m:r>
                <m:t>n</m:t>
              </m:r>
              <m:r>
                <m:t>g</m:t>
              </m:r>
            </m:sub>
          </m:sSub>
        </m:oMath>
      </m:oMathPara>
    </w:p>
    <w:p>
      <w:pPr>
        <w:pStyle w:val="FirstParagraph"/>
      </w:pPr>
      <w:r>
        <w:t xml:space="preserve">where</w:t>
      </w:r>
      <w:r>
        <w:t xml:space="preserve"> </w:t>
      </w:r>
      <m:oMath>
        <m:sSub>
          <m:e>
            <m:r>
              <m:t>H</m:t>
            </m:r>
          </m:e>
          <m:sub>
            <m:r>
              <m:t>0</m:t>
            </m:r>
          </m:sub>
        </m:sSub>
      </m:oMath>
      <w:r>
        <w:t xml:space="preserve"> </w:t>
      </w:r>
      <w:r>
        <w:t xml:space="preserve">is the pristine graphullerene Hamiltonian,</w:t>
      </w:r>
      <w:r>
        <w:t xml:space="preserve"> </w:t>
      </w:r>
      <m:oMath>
        <m:sSub>
          <m:e>
            <m:r>
              <m:t>V</m:t>
            </m:r>
          </m:e>
          <m:sub>
            <m:r>
              <m:t>d</m:t>
            </m:r>
            <m:r>
              <m:t>o</m:t>
            </m:r>
            <m:r>
              <m:t>p</m:t>
            </m:r>
            <m:r>
              <m:t>i</m:t>
            </m:r>
            <m:r>
              <m:t>n</m:t>
            </m:r>
            <m:r>
              <m:t>g</m:t>
            </m:r>
          </m:sub>
        </m:sSub>
      </m:oMath>
      <w:r>
        <w:t xml:space="preserve"> </w:t>
      </w:r>
      <w:r>
        <w:t xml:space="preserve">and</w:t>
      </w:r>
      <w:r>
        <w:t xml:space="preserve"> </w:t>
      </w:r>
      <m:oMath>
        <m:sSub>
          <m:e>
            <m:r>
              <m:t>V</m:t>
            </m:r>
          </m:e>
          <m:sub>
            <m:r>
              <m:t>s</m:t>
            </m:r>
            <m:r>
              <m:t>t</m:t>
            </m:r>
            <m:r>
              <m:t>r</m:t>
            </m:r>
            <m:r>
              <m:t>a</m:t>
            </m:r>
            <m:r>
              <m:t>i</m:t>
            </m:r>
            <m:r>
              <m:t>n</m:t>
            </m:r>
          </m:sub>
        </m:sSub>
      </m:oMath>
      <w:r>
        <w:t xml:space="preserve"> </w:t>
      </w:r>
      <w:r>
        <w:t xml:space="preserve">are the individual modification potentials, and</w:t>
      </w:r>
      <w:r>
        <w:t xml:space="preserve"> </w:t>
      </w:r>
      <m:oMath>
        <m:sSub>
          <m:e>
            <m:r>
              <m:t>V</m:t>
            </m:r>
          </m:e>
          <m:sub>
            <m:r>
              <m:t>c</m:t>
            </m:r>
            <m:r>
              <m:t>o</m:t>
            </m:r>
            <m:r>
              <m:t>u</m:t>
            </m:r>
            <m:r>
              <m:t>p</m:t>
            </m:r>
            <m:r>
              <m:t>l</m:t>
            </m:r>
            <m:r>
              <m:t>i</m:t>
            </m:r>
            <m:r>
              <m:t>n</m:t>
            </m:r>
            <m:r>
              <m:t>g</m:t>
            </m:r>
          </m:sub>
        </m:sSub>
      </m:oMath>
      <w:r>
        <w:t xml:space="preserve"> </w:t>
      </w:r>
      <w:r>
        <w:t xml:space="preserve">represents the synergistic interaction.</w:t>
      </w:r>
    </w:p>
    <w:p>
      <w:pPr>
        <w:pStyle w:val="BodyText"/>
      </w:pPr>
      <w:r>
        <w:t xml:space="preserve">Starting from the unperturbed system</w:t>
      </w:r>
      <w:r>
        <w:t xml:space="preserve"> </w:t>
      </w:r>
      <m:oMath>
        <m:sSub>
          <m:e>
            <m:r>
              <m:t>H</m:t>
            </m:r>
          </m:e>
          <m:sub>
            <m:r>
              <m:t>0</m:t>
            </m:r>
          </m:sub>
        </m:sSub>
        <m:d>
          <m:dPr>
            <m:begChr m:val="|"/>
            <m:sepChr m:val=""/>
            <m:endChr m:val="|"/>
            <m:grow/>
          </m:dPr>
          <m:e>
            <m:sSubSup>
              <m:e>
                <m:r>
                  <m:t>ψ</m:t>
                </m:r>
              </m:e>
              <m:sub>
                <m:r>
                  <m:t>n</m:t>
                </m:r>
              </m:sub>
              <m:sup>
                <m:d>
                  <m:dPr>
                    <m:begChr m:val="("/>
                    <m:sepChr m:val=""/>
                    <m:endChr m:val=")"/>
                    <m:grow/>
                  </m:dPr>
                  <m:e>
                    <m:r>
                      <m:t>0</m:t>
                    </m:r>
                  </m:e>
                </m:d>
              </m:sup>
            </m:sSubSup>
            <m:r>
              <m:rPr>
                <m:sty m:val="p"/>
              </m:rPr>
              <m:t>⟩</m:t>
            </m:r>
            <m:r>
              <m:rPr>
                <m:sty m:val="p"/>
              </m:rPr>
              <m:t>=</m:t>
            </m:r>
            <m:sSubSup>
              <m:e>
                <m:r>
                  <m:t>E</m:t>
                </m:r>
              </m:e>
              <m:sub>
                <m:r>
                  <m:t>n</m:t>
                </m:r>
              </m:sub>
              <m:sup>
                <m:d>
                  <m:dPr>
                    <m:begChr m:val="("/>
                    <m:sepChr m:val=""/>
                    <m:endChr m:val=")"/>
                    <m:grow/>
                  </m:dPr>
                  <m:e>
                    <m:r>
                      <m:t>0</m:t>
                    </m:r>
                  </m:e>
                </m:d>
              </m:sup>
            </m:sSubSup>
          </m:e>
        </m:d>
        <m:sSubSup>
          <m:e>
            <m:r>
              <m:t>ψ</m:t>
            </m:r>
          </m:e>
          <m:sub>
            <m:r>
              <m:t>n</m:t>
            </m:r>
          </m:sub>
          <m:sup>
            <m:d>
              <m:dPr>
                <m:begChr m:val="("/>
                <m:sepChr m:val=""/>
                <m:endChr m:val=")"/>
                <m:grow/>
              </m:dPr>
              <m:e>
                <m:r>
                  <m:t>0</m:t>
                </m:r>
              </m:e>
            </m:d>
          </m:sup>
        </m:sSubSup>
        <m:r>
          <m:rPr>
            <m:sty m:val="p"/>
          </m:rPr>
          <m:t>⟩</m:t>
        </m:r>
      </m:oMath>
      <w:r>
        <w:t xml:space="preserve">, we apply perturbation theory with the total perturbation</w:t>
      </w:r>
      <w:r>
        <w:t xml:space="preserve"> </w:t>
      </w:r>
      <m:oMath>
        <m:r>
          <m:t>V</m:t>
        </m:r>
        <m:r>
          <m:rPr>
            <m:sty m:val="p"/>
          </m:rPr>
          <m:t>=</m:t>
        </m:r>
        <m:sSub>
          <m:e>
            <m:r>
              <m:t>V</m:t>
            </m:r>
          </m:e>
          <m:sub>
            <m:r>
              <m:t>d</m:t>
            </m:r>
            <m:r>
              <m:t>o</m:t>
            </m:r>
            <m:r>
              <m:t>p</m:t>
            </m:r>
            <m:r>
              <m:t>i</m:t>
            </m:r>
            <m:r>
              <m:t>n</m:t>
            </m:r>
            <m:r>
              <m:t>g</m:t>
            </m:r>
          </m:sub>
        </m:sSub>
        <m:r>
          <m:rPr>
            <m:sty m:val="p"/>
          </m:rPr>
          <m:t>+</m:t>
        </m:r>
        <m:sSub>
          <m:e>
            <m:r>
              <m:t>V</m:t>
            </m:r>
          </m:e>
          <m:sub>
            <m:r>
              <m:t>s</m:t>
            </m:r>
            <m:r>
              <m:t>t</m:t>
            </m:r>
            <m:r>
              <m:t>r</m:t>
            </m:r>
            <m:r>
              <m:t>a</m:t>
            </m:r>
            <m:r>
              <m:t>i</m:t>
            </m:r>
            <m:r>
              <m:t>n</m:t>
            </m:r>
          </m:sub>
        </m:sSub>
      </m:oMath>
      <w:r>
        <w:t xml:space="preserve">. The first-order correction vanishes due to symmetry, while the second-order correction yields:</w:t>
      </w:r>
    </w:p>
    <w:p>
      <w:pPr>
        <w:pStyle w:val="BodyText"/>
      </w:pPr>
      <m:oMathPara>
        <m:oMathParaPr>
          <m:jc m:val="center"/>
        </m:oMathParaPr>
        <m:oMath>
          <m:sSubSup>
            <m:e>
              <m:r>
                <m:t>E</m:t>
              </m:r>
            </m:e>
            <m:sub>
              <m:r>
                <m:t>n</m:t>
              </m:r>
            </m:sub>
            <m:sup>
              <m:d>
                <m:dPr>
                  <m:begChr m:val="("/>
                  <m:sepChr m:val=""/>
                  <m:endChr m:val=")"/>
                  <m:grow/>
                </m:dPr>
                <m:e>
                  <m:r>
                    <m:t>2</m:t>
                  </m:r>
                </m:e>
              </m:d>
            </m:sup>
          </m:sSubSup>
          <m:r>
            <m:rPr>
              <m:sty m:val="p"/>
            </m:rPr>
            <m:t>=</m:t>
          </m:r>
          <m:nary>
            <m:naryPr>
              <m:chr m:val="∑"/>
              <m:limLoc m:val="undOvr"/>
              <m:subHide m:val="off"/>
              <m:supHide m:val="on"/>
            </m:naryPr>
            <m:sub>
              <m:r>
                <m:t>m</m:t>
              </m:r>
              <m:r>
                <m:rPr>
                  <m:sty m:val="p"/>
                </m:rPr>
                <m:t>≠</m:t>
              </m:r>
              <m:r>
                <m:t>n</m:t>
              </m:r>
            </m:sub>
            <m:sup>
              <m:r>
                <m:t>​</m:t>
              </m:r>
            </m:sup>
            <m:e>
              <m:f>
                <m:fPr>
                  <m:type m:val="bar"/>
                </m:fPr>
                <m:num>
                  <m:d>
                    <m:dPr>
                      <m:begChr m:val="|"/>
                      <m:sepChr m:val=""/>
                      <m:endChr m:val="|"/>
                      <m:grow/>
                    </m:dPr>
                    <m:e>
                      <m:r>
                        <m:rPr>
                          <m:sty m:val="p"/>
                        </m:rPr>
                        <m:t>⟨</m:t>
                      </m:r>
                      <m:sSubSup>
                        <m:e>
                          <m:r>
                            <m:t>ψ</m:t>
                          </m:r>
                        </m:e>
                        <m:sub>
                          <m:r>
                            <m:t>m</m:t>
                          </m:r>
                        </m:sub>
                        <m:sup>
                          <m:d>
                            <m:dPr>
                              <m:begChr m:val="("/>
                              <m:sepChr m:val=""/>
                              <m:endChr m:val=")"/>
                              <m:grow/>
                            </m:dPr>
                            <m:e>
                              <m:r>
                                <m:t>0</m:t>
                              </m:r>
                            </m:e>
                          </m:d>
                        </m:sup>
                      </m:sSubSup>
                    </m:e>
                  </m:d>
                  <m:r>
                    <m:t>V</m:t>
                  </m:r>
                  <m:sSup>
                    <m:e>
                      <m:d>
                        <m:dPr>
                          <m:begChr m:val="|"/>
                          <m:sepChr m:val=""/>
                          <m:endChr m:val="|"/>
                          <m:grow/>
                        </m:dPr>
                        <m:e>
                          <m:sSubSup>
                            <m:e>
                              <m:r>
                                <m:t>ψ</m:t>
                              </m:r>
                            </m:e>
                            <m:sub>
                              <m:r>
                                <m:t>n</m:t>
                              </m:r>
                            </m:sub>
                            <m:sup>
                              <m:d>
                                <m:dPr>
                                  <m:begChr m:val="("/>
                                  <m:sepChr m:val=""/>
                                  <m:endChr m:val=")"/>
                                  <m:grow/>
                                </m:dPr>
                                <m:e>
                                  <m:r>
                                    <m:t>0</m:t>
                                  </m:r>
                                </m:e>
                              </m:d>
                            </m:sup>
                          </m:sSubSup>
                          <m:r>
                            <m:rPr>
                              <m:sty m:val="p"/>
                            </m:rPr>
                            <m:t>⟩</m:t>
                          </m:r>
                        </m:e>
                      </m:d>
                    </m:e>
                    <m:sup>
                      <m:r>
                        <m:t>2</m:t>
                      </m:r>
                    </m:sup>
                  </m:sSup>
                </m:num>
                <m:den>
                  <m:sSubSup>
                    <m:e>
                      <m:r>
                        <m:t>E</m:t>
                      </m:r>
                    </m:e>
                    <m:sub>
                      <m:r>
                        <m:t>n</m:t>
                      </m:r>
                    </m:sub>
                    <m:sup>
                      <m:d>
                        <m:dPr>
                          <m:begChr m:val="("/>
                          <m:sepChr m:val=""/>
                          <m:endChr m:val=")"/>
                          <m:grow/>
                        </m:dPr>
                        <m:e>
                          <m:r>
                            <m:t>0</m:t>
                          </m:r>
                        </m:e>
                      </m:d>
                    </m:sup>
                  </m:sSubSup>
                  <m:r>
                    <m:rPr>
                      <m:sty m:val="p"/>
                    </m:rPr>
                    <m:t>−</m:t>
                  </m:r>
                  <m:sSubSup>
                    <m:e>
                      <m:r>
                        <m:t>E</m:t>
                      </m:r>
                    </m:e>
                    <m:sub>
                      <m:r>
                        <m:t>m</m:t>
                      </m:r>
                    </m:sub>
                    <m:sup>
                      <m:d>
                        <m:dPr>
                          <m:begChr m:val="("/>
                          <m:sepChr m:val=""/>
                          <m:endChr m:val=")"/>
                          <m:grow/>
                        </m:dPr>
                        <m:e>
                          <m:r>
                            <m:t>0</m:t>
                          </m:r>
                        </m:e>
                      </m:d>
                    </m:sup>
                  </m:sSubSup>
                </m:den>
              </m:f>
            </m:e>
          </m:nary>
        </m:oMath>
      </m:oMathPara>
    </w:p>
    <w:p>
      <w:pPr>
        <w:pStyle w:val="FirstParagraph"/>
      </w:pPr>
      <w:r>
        <w:t xml:space="preserve">Expanding the perturbation matrix elements:</w:t>
      </w:r>
    </w:p>
    <w:p>
      <w:pPr>
        <w:pStyle w:val="BodyText"/>
      </w:pPr>
      <m:oMathPara>
        <m:oMathParaPr>
          <m:jc m:val="center"/>
        </m:oMathParaPr>
        <m:oMath>
          <m:r>
            <m:rPr>
              <m:sty m:val="p"/>
            </m:rPr>
            <m:t>⟨</m:t>
          </m:r>
          <m:sSubSup>
            <m:e>
              <m:r>
                <m:t>ψ</m:t>
              </m:r>
            </m:e>
            <m:sub>
              <m:r>
                <m:t>m</m:t>
              </m:r>
            </m:sub>
            <m:sup>
              <m:d>
                <m:dPr>
                  <m:begChr m:val="("/>
                  <m:sepChr m:val=""/>
                  <m:endChr m:val=")"/>
                  <m:grow/>
                </m:dPr>
                <m:e>
                  <m:r>
                    <m:t>0</m:t>
                  </m:r>
                </m:e>
              </m:d>
            </m:sup>
          </m:sSubSup>
          <m:d>
            <m:dPr>
              <m:begChr m:val="|"/>
              <m:sepChr m:val=""/>
              <m:endChr m:val="|"/>
              <m:grow/>
            </m:dPr>
            <m:e>
              <m:r>
                <m:t>V</m:t>
              </m:r>
            </m:e>
          </m:d>
          <m:sSubSup>
            <m:e>
              <m:r>
                <m:t>ψ</m:t>
              </m:r>
            </m:e>
            <m:sub>
              <m:r>
                <m:t>n</m:t>
              </m:r>
            </m:sub>
            <m:sup>
              <m:d>
                <m:dPr>
                  <m:begChr m:val="("/>
                  <m:sepChr m:val=""/>
                  <m:endChr m:val=")"/>
                  <m:grow/>
                </m:dPr>
                <m:e>
                  <m:r>
                    <m:t>0</m:t>
                  </m:r>
                </m:e>
              </m:d>
            </m:sup>
          </m:sSubSup>
          <m:r>
            <m:rPr>
              <m:sty m:val="p"/>
            </m:rPr>
            <m:t>⟩</m:t>
          </m:r>
          <m:r>
            <m:rPr>
              <m:sty m:val="p"/>
            </m:rPr>
            <m:t>=</m:t>
          </m:r>
          <m:r>
            <m:rPr>
              <m:sty m:val="p"/>
            </m:rPr>
            <m:t>⟨</m:t>
          </m:r>
          <m:sSubSup>
            <m:e>
              <m:r>
                <m:t>ψ</m:t>
              </m:r>
            </m:e>
            <m:sub>
              <m:r>
                <m:t>m</m:t>
              </m:r>
            </m:sub>
            <m:sup>
              <m:d>
                <m:dPr>
                  <m:begChr m:val="("/>
                  <m:sepChr m:val=""/>
                  <m:endChr m:val=")"/>
                  <m:grow/>
                </m:dPr>
                <m:e>
                  <m:r>
                    <m:t>0</m:t>
                  </m:r>
                </m:e>
              </m:d>
            </m:sup>
          </m:sSubSup>
          <m:d>
            <m:dPr>
              <m:begChr m:val="|"/>
              <m:sepChr m:val=""/>
              <m:endChr m:val="|"/>
              <m:grow/>
            </m:dPr>
            <m:e>
              <m:sSub>
                <m:e>
                  <m:r>
                    <m:t>V</m:t>
                  </m:r>
                </m:e>
                <m:sub>
                  <m:r>
                    <m:t>d</m:t>
                  </m:r>
                  <m:r>
                    <m:t>o</m:t>
                  </m:r>
                  <m:r>
                    <m:t>p</m:t>
                  </m:r>
                  <m:r>
                    <m:t>i</m:t>
                  </m:r>
                  <m:r>
                    <m:t>n</m:t>
                  </m:r>
                  <m:r>
                    <m:t>g</m:t>
                  </m:r>
                </m:sub>
              </m:sSub>
            </m:e>
          </m:d>
          <m:sSubSup>
            <m:e>
              <m:r>
                <m:t>ψ</m:t>
              </m:r>
            </m:e>
            <m:sub>
              <m:r>
                <m:t>n</m:t>
              </m:r>
            </m:sub>
            <m:sup>
              <m:d>
                <m:dPr>
                  <m:begChr m:val="("/>
                  <m:sepChr m:val=""/>
                  <m:endChr m:val=")"/>
                  <m:grow/>
                </m:dPr>
                <m:e>
                  <m:r>
                    <m:t>0</m:t>
                  </m:r>
                </m:e>
              </m:d>
            </m:sup>
          </m:sSubSup>
          <m:r>
            <m:rPr>
              <m:sty m:val="p"/>
            </m:rPr>
            <m:t>⟩</m:t>
          </m:r>
          <m:r>
            <m:rPr>
              <m:sty m:val="p"/>
            </m:rPr>
            <m:t>+</m:t>
          </m:r>
          <m:r>
            <m:rPr>
              <m:sty m:val="p"/>
            </m:rPr>
            <m:t>⟨</m:t>
          </m:r>
          <m:sSubSup>
            <m:e>
              <m:r>
                <m:t>ψ</m:t>
              </m:r>
            </m:e>
            <m:sub>
              <m:r>
                <m:t>m</m:t>
              </m:r>
            </m:sub>
            <m:sup>
              <m:d>
                <m:dPr>
                  <m:begChr m:val="("/>
                  <m:sepChr m:val=""/>
                  <m:endChr m:val=")"/>
                  <m:grow/>
                </m:dPr>
                <m:e>
                  <m:r>
                    <m:t>0</m:t>
                  </m:r>
                </m:e>
              </m:d>
            </m:sup>
          </m:sSubSup>
          <m:d>
            <m:dPr>
              <m:begChr m:val="|"/>
              <m:sepChr m:val=""/>
              <m:endChr m:val="|"/>
              <m:grow/>
            </m:dPr>
            <m:e>
              <m:sSub>
                <m:e>
                  <m:r>
                    <m:t>V</m:t>
                  </m:r>
                </m:e>
                <m:sub>
                  <m:r>
                    <m:t>s</m:t>
                  </m:r>
                  <m:r>
                    <m:t>t</m:t>
                  </m:r>
                  <m:r>
                    <m:t>r</m:t>
                  </m:r>
                  <m:r>
                    <m:t>a</m:t>
                  </m:r>
                  <m:r>
                    <m:t>i</m:t>
                  </m:r>
                  <m:r>
                    <m:t>n</m:t>
                  </m:r>
                </m:sub>
              </m:sSub>
            </m:e>
          </m:d>
          <m:sSubSup>
            <m:e>
              <m:r>
                <m:t>ψ</m:t>
              </m:r>
            </m:e>
            <m:sub>
              <m:r>
                <m:t>n</m:t>
              </m:r>
            </m:sub>
            <m:sup>
              <m:d>
                <m:dPr>
                  <m:begChr m:val="("/>
                  <m:sepChr m:val=""/>
                  <m:endChr m:val=")"/>
                  <m:grow/>
                </m:dPr>
                <m:e>
                  <m:r>
                    <m:t>0</m:t>
                  </m:r>
                </m:e>
              </m:d>
            </m:sup>
          </m:sSubSup>
          <m:r>
            <m:rPr>
              <m:sty m:val="p"/>
            </m:rPr>
            <m:t>⟩</m:t>
          </m:r>
        </m:oMath>
      </m:oMathPara>
    </w:p>
    <w:p>
      <w:pPr>
        <w:pStyle w:val="FirstParagraph"/>
      </w:pPr>
      <w:r>
        <w:t xml:space="preserve">The cross terms in the expansion of</w:t>
      </w:r>
      <w:r>
        <w:t xml:space="preserve"> </w:t>
      </w:r>
      <m:oMath>
        <m:d>
          <m:dPr>
            <m:begChr m:val="|"/>
            <m:sepChr m:val=""/>
            <m:endChr m:val="|"/>
            <m:grow/>
          </m:dPr>
          <m:e>
            <m:r>
              <m:rPr>
                <m:sty m:val="p"/>
              </m:rPr>
              <m:t>⟨</m:t>
            </m:r>
            <m:sSubSup>
              <m:e>
                <m:r>
                  <m:t>ψ</m:t>
                </m:r>
              </m:e>
              <m:sub>
                <m:r>
                  <m:t>m</m:t>
                </m:r>
              </m:sub>
              <m:sup>
                <m:d>
                  <m:dPr>
                    <m:begChr m:val="("/>
                    <m:sepChr m:val=""/>
                    <m:endChr m:val=")"/>
                    <m:grow/>
                  </m:dPr>
                  <m:e>
                    <m:r>
                      <m:t>0</m:t>
                    </m:r>
                  </m:e>
                </m:d>
              </m:sup>
            </m:sSubSup>
          </m:e>
        </m:d>
        <m:r>
          <m:t>V</m:t>
        </m:r>
        <m:sSup>
          <m:e>
            <m:d>
              <m:dPr>
                <m:begChr m:val="|"/>
                <m:sepChr m:val=""/>
                <m:endChr m:val="|"/>
                <m:grow/>
              </m:dPr>
              <m:e>
                <m:sSubSup>
                  <m:e>
                    <m:r>
                      <m:t>ψ</m:t>
                    </m:r>
                  </m:e>
                  <m:sub>
                    <m:r>
                      <m:t>n</m:t>
                    </m:r>
                  </m:sub>
                  <m:sup>
                    <m:d>
                      <m:dPr>
                        <m:begChr m:val="("/>
                        <m:sepChr m:val=""/>
                        <m:endChr m:val=")"/>
                        <m:grow/>
                      </m:dPr>
                      <m:e>
                        <m:r>
                          <m:t>0</m:t>
                        </m:r>
                      </m:e>
                    </m:d>
                  </m:sup>
                </m:sSubSup>
                <m:r>
                  <m:rPr>
                    <m:sty m:val="p"/>
                  </m:rPr>
                  <m:t>⟩</m:t>
                </m:r>
              </m:e>
            </m:d>
          </m:e>
          <m:sup>
            <m:r>
              <m:t>2</m:t>
            </m:r>
          </m:sup>
        </m:sSup>
      </m:oMath>
      <w:r>
        <w:t xml:space="preserve"> </w:t>
      </w:r>
      <w:r>
        <w:t xml:space="preserve">give rise to the non-additive coupling:</w:t>
      </w:r>
    </w:p>
    <w:p>
      <w:pPr>
        <w:pStyle w:val="BodyText"/>
      </w:pPr>
      <m:oMathPara>
        <m:oMathParaPr>
          <m:jc m:val="center"/>
        </m:oMathParaPr>
        <m:oMath>
          <m:sSub>
            <m:e>
              <m:r>
                <m:t>V</m:t>
              </m:r>
            </m:e>
            <m:sub>
              <m:r>
                <m:t>c</m:t>
              </m:r>
              <m:r>
                <m:t>o</m:t>
              </m:r>
              <m:r>
                <m:t>u</m:t>
              </m:r>
              <m:r>
                <m:t>p</m:t>
              </m:r>
              <m:r>
                <m:t>l</m:t>
              </m:r>
              <m:r>
                <m:t>i</m:t>
              </m:r>
              <m:r>
                <m:t>n</m:t>
              </m:r>
              <m:r>
                <m:t>g</m:t>
              </m:r>
            </m:sub>
          </m:sSub>
          <m:r>
            <m:rPr>
              <m:sty m:val="p"/>
            </m:rPr>
            <m:t>=</m:t>
          </m:r>
          <m:nary>
            <m:naryPr>
              <m:chr m:val="∑"/>
              <m:limLoc m:val="undOvr"/>
              <m:subHide m:val="off"/>
              <m:supHide m:val="on"/>
            </m:naryPr>
            <m:sub>
              <m:r>
                <m:t>i</m:t>
              </m:r>
              <m:r>
                <m:rPr>
                  <m:sty m:val="p"/>
                </m:rPr>
                <m:t>,</m:t>
              </m:r>
              <m:r>
                <m:t>j</m:t>
              </m:r>
            </m:sub>
            <m:sup>
              <m:r>
                <m:t>​</m:t>
              </m:r>
            </m:sup>
            <m:e>
              <m:f>
                <m:fPr>
                  <m:type m:val="bar"/>
                </m:fPr>
                <m:num>
                  <m:r>
                    <m:rPr>
                      <m:sty m:val="p"/>
                    </m:rPr>
                    <m:t>⟨</m:t>
                  </m:r>
                  <m:sSub>
                    <m:e>
                      <m:r>
                        <m:t>ψ</m:t>
                      </m:r>
                    </m:e>
                    <m:sub>
                      <m:r>
                        <m:t>i</m:t>
                      </m:r>
                    </m:sub>
                  </m:sSub>
                  <m:d>
                    <m:dPr>
                      <m:begChr m:val="|"/>
                      <m:sepChr m:val=""/>
                      <m:endChr m:val="|"/>
                      <m:grow/>
                    </m:dPr>
                    <m:e>
                      <m:sSub>
                        <m:e>
                          <m:r>
                            <m:t>V</m:t>
                          </m:r>
                        </m:e>
                        <m:sub>
                          <m:r>
                            <m:t>d</m:t>
                          </m:r>
                          <m:r>
                            <m:t>o</m:t>
                          </m:r>
                          <m:r>
                            <m:t>p</m:t>
                          </m:r>
                          <m:r>
                            <m:t>i</m:t>
                          </m:r>
                          <m:r>
                            <m:t>n</m:t>
                          </m:r>
                          <m:r>
                            <m:t>g</m:t>
                          </m:r>
                        </m:sub>
                      </m:sSub>
                    </m:e>
                  </m:d>
                  <m:sSub>
                    <m:e>
                      <m:r>
                        <m:t>ψ</m:t>
                      </m:r>
                    </m:e>
                    <m:sub>
                      <m:r>
                        <m:t>j</m:t>
                      </m:r>
                    </m:sub>
                  </m:sSub>
                  <m:r>
                    <m:rPr>
                      <m:sty m:val="p"/>
                    </m:rPr>
                    <m:t>⟩</m:t>
                  </m:r>
                  <m:r>
                    <m:rPr>
                      <m:sty m:val="p"/>
                    </m:rPr>
                    <m:t>⟨</m:t>
                  </m:r>
                  <m:sSub>
                    <m:e>
                      <m:r>
                        <m:t>ψ</m:t>
                      </m:r>
                    </m:e>
                    <m:sub>
                      <m:r>
                        <m:t>j</m:t>
                      </m:r>
                    </m:sub>
                  </m:sSub>
                  <m:d>
                    <m:dPr>
                      <m:begChr m:val="|"/>
                      <m:sepChr m:val=""/>
                      <m:endChr m:val="|"/>
                      <m:grow/>
                    </m:dPr>
                    <m:e>
                      <m:sSub>
                        <m:e>
                          <m:r>
                            <m:t>V</m:t>
                          </m:r>
                        </m:e>
                        <m:sub>
                          <m:r>
                            <m:t>s</m:t>
                          </m:r>
                          <m:r>
                            <m:t>t</m:t>
                          </m:r>
                          <m:r>
                            <m:t>r</m:t>
                          </m:r>
                          <m:r>
                            <m:t>a</m:t>
                          </m:r>
                          <m:r>
                            <m:t>i</m:t>
                          </m:r>
                          <m:r>
                            <m:t>n</m:t>
                          </m:r>
                        </m:sub>
                      </m:sSub>
                    </m:e>
                  </m:d>
                  <m:sSub>
                    <m:e>
                      <m:r>
                        <m:t>ψ</m:t>
                      </m:r>
                    </m:e>
                    <m:sub>
                      <m:r>
                        <m:t>i</m:t>
                      </m:r>
                    </m:sub>
                  </m:sSub>
                  <m:r>
                    <m:rPr>
                      <m:sty m:val="p"/>
                    </m:rPr>
                    <m:t>⟩</m:t>
                  </m:r>
                </m:num>
                <m:den>
                  <m:sSub>
                    <m:e>
                      <m:r>
                        <m:t>E</m:t>
                      </m:r>
                    </m:e>
                    <m:sub>
                      <m:r>
                        <m:t>i</m:t>
                      </m:r>
                    </m:sub>
                  </m:sSub>
                  <m:r>
                    <m:rPr>
                      <m:sty m:val="p"/>
                    </m:rPr>
                    <m:t>−</m:t>
                  </m:r>
                  <m:sSub>
                    <m:e>
                      <m:r>
                        <m:t>E</m:t>
                      </m:r>
                    </m:e>
                    <m:sub>
                      <m:r>
                        <m:t>j</m:t>
                      </m:r>
                    </m:sub>
                  </m:sSub>
                </m:den>
              </m:f>
            </m:e>
          </m:nary>
        </m:oMath>
      </m:oMathPara>
    </w:p>
    <w:p>
      <w:pPr>
        <w:pStyle w:val="FirstParagraph"/>
      </w:pPr>
      <w:r>
        <w:t xml:space="preserve">This coupling term represents the quantum mechanical interference between doping and strain effects, which cannot be captured by simple superposition.</w:t>
      </w:r>
    </w:p>
    <w:p>
      <w:pPr>
        <w:pStyle w:val="BodyText"/>
      </w:pPr>
      <w:r>
        <w:t xml:space="preserve">Supercells containing 16-32 C</w:t>
      </w:r>
      <m:oMath>
        <m:sSub>
          <m:e>
            <m:r>
              <m:t>​</m:t>
            </m:r>
          </m:e>
          <m:sub>
            <m:r>
              <m:t>60</m:t>
            </m:r>
          </m:sub>
        </m:sSub>
      </m:oMath>
      <w:r>
        <w:t xml:space="preserve"> </w:t>
      </w:r>
      <w:r>
        <w:t xml:space="preserve">units were constructed for qHP networks, with heteroatom substitutions at concentrations of 2.5%, 5.0%, and 7.5%. Biaxial strain was applied uniformly from -5% to +5%, with lattice parameters</w:t>
      </w:r>
      <w:r>
        <w:t xml:space="preserve"> </w:t>
      </w:r>
      <m:oMath>
        <m:r>
          <m:t>a</m:t>
        </m:r>
        <m:r>
          <m:rPr>
            <m:sty m:val="p"/>
          </m:rPr>
          <m:t>=</m:t>
        </m:r>
        <m:r>
          <m:t>36.67</m:t>
        </m:r>
      </m:oMath>
      <w:r>
        <w:t xml:space="preserve"> </w:t>
      </w:r>
      <w:r>
        <w:t xml:space="preserve">Å and</w:t>
      </w:r>
      <w:r>
        <w:t xml:space="preserve"> </w:t>
      </w:r>
      <m:oMath>
        <m:r>
          <m:t>b</m:t>
        </m:r>
        <m:r>
          <m:rPr>
            <m:sty m:val="p"/>
          </m:rPr>
          <m:t>=</m:t>
        </m:r>
        <m:r>
          <m:t>30.84</m:t>
        </m:r>
      </m:oMath>
      <w:r>
        <w:t xml:space="preserve"> </w:t>
      </w:r>
      <w:r>
        <w:t xml:space="preserve">Å for unstrained qHP C</w:t>
      </w:r>
      <m:oMath>
        <m:sSub>
          <m:e>
            <m:r>
              <m:t>​</m:t>
            </m:r>
          </m:e>
          <m:sub>
            <m:r>
              <m:t>60</m:t>
            </m:r>
          </m:sub>
        </m:sSub>
      </m:oMath>
      <w:r>
        <w:t xml:space="preserve"> </w:t>
      </w:r>
      <w:r>
        <w:t xml:space="preserve">. The strain range is validated by structural stability analysis, ensuring the qHP phase remains intact.</w:t>
      </w:r>
    </w:p>
    <w:p>
      <w:pPr>
        <w:pStyle w:val="BodyText"/>
      </w:pPr>
      <w:r>
        <w:t xml:space="preserve">Electron mobility calculations employed Fermi’s Golden Rule within the polaron hopping framework </w:t>
      </w:r>
      <w:r>
        <w:t xml:space="preserve">. The mobility expression was:</w:t>
      </w:r>
    </w:p>
    <w:p>
      <w:pPr>
        <w:pStyle w:val="BodyText"/>
      </w:pPr>
      <m:oMathPara>
        <m:oMathParaPr>
          <m:jc m:val="center"/>
        </m:oMathParaPr>
        <m:oMath>
          <m:r>
            <m:t>μ</m:t>
          </m:r>
          <m:r>
            <m:rPr>
              <m:sty m:val="p"/>
            </m:rPr>
            <m:t>=</m:t>
          </m:r>
          <m:f>
            <m:fPr>
              <m:type m:val="bar"/>
            </m:fPr>
            <m:num>
              <m:r>
                <m:t>e</m:t>
              </m:r>
            </m:num>
            <m:den>
              <m:sSub>
                <m:e>
                  <m:r>
                    <m:t>k</m:t>
                  </m:r>
                </m:e>
                <m:sub>
                  <m:r>
                    <m:t>B</m:t>
                  </m:r>
                </m:sub>
              </m:sSub>
              <m:r>
                <m:t>T</m:t>
              </m:r>
            </m:den>
          </m:f>
          <m:nary>
            <m:naryPr>
              <m:chr m:val="∑"/>
              <m:limLoc m:val="undOvr"/>
              <m:subHide m:val="off"/>
              <m:supHide m:val="on"/>
            </m:naryPr>
            <m:sub>
              <m:r>
                <m:t>i</m:t>
              </m:r>
            </m:sub>
            <m:sup>
              <m:r>
                <m:t>​</m:t>
              </m:r>
            </m:sup>
            <m:e>
              <m:sSub>
                <m:e>
                  <m:r>
                    <m:t>P</m:t>
                  </m:r>
                </m:e>
                <m:sub>
                  <m:r>
                    <m:t>i</m:t>
                  </m:r>
                </m:sub>
              </m:sSub>
            </m:e>
          </m:nary>
          <m:nary>
            <m:naryPr>
              <m:chr m:val="∑"/>
              <m:limLoc m:val="undOvr"/>
              <m:subHide m:val="off"/>
              <m:supHide m:val="on"/>
            </m:naryPr>
            <m:sub>
              <m:r>
                <m:t>j</m:t>
              </m:r>
            </m:sub>
            <m:sup>
              <m:r>
                <m:t>​</m:t>
              </m:r>
            </m:sup>
            <m:e>
              <m:sSub>
                <m:e>
                  <m:r>
                    <m:t>ν</m:t>
                  </m:r>
                </m:e>
                <m:sub>
                  <m:r>
                    <m:t>i</m:t>
                  </m:r>
                  <m:r>
                    <m:t>j</m:t>
                  </m:r>
                </m:sub>
              </m:sSub>
            </m:e>
          </m:nary>
          <m:sSubSup>
            <m:e>
              <m:r>
                <m:t>r</m:t>
              </m:r>
            </m:e>
            <m:sub>
              <m:r>
                <m:t>i</m:t>
              </m:r>
              <m:r>
                <m:t>j</m:t>
              </m:r>
            </m:sub>
            <m:sup>
              <m:r>
                <m:t>2</m:t>
              </m:r>
            </m:sup>
          </m:sSubSup>
          <m:r>
            <m:rPr>
              <m:sty m:val="p"/>
            </m:rPr>
            <m:t>exp</m:t>
          </m:r>
          <m:d>
            <m:dPr>
              <m:begChr m:val="("/>
              <m:sepChr m:val=""/>
              <m:endChr m:val=")"/>
              <m:grow/>
            </m:dPr>
            <m:e>
              <m:r>
                <m:rPr>
                  <m:sty m:val="p"/>
                </m:rPr>
                <m:t>−</m:t>
              </m:r>
              <m:f>
                <m:fPr>
                  <m:type m:val="bar"/>
                </m:fPr>
                <m:num>
                  <m:r>
                    <m:t>Δ</m:t>
                  </m:r>
                  <m:sSub>
                    <m:e>
                      <m:r>
                        <m:t>G</m:t>
                      </m:r>
                    </m:e>
                    <m:sub>
                      <m:r>
                        <m:t>i</m:t>
                      </m:r>
                      <m:r>
                        <m:t>j</m:t>
                      </m:r>
                    </m:sub>
                  </m:sSub>
                </m:num>
                <m:den>
                  <m:sSub>
                    <m:e>
                      <m:r>
                        <m:t>k</m:t>
                      </m:r>
                    </m:e>
                    <m:sub>
                      <m:r>
                        <m:t>B</m:t>
                      </m:r>
                    </m:sub>
                  </m:sSub>
                  <m:r>
                    <m:t>T</m:t>
                  </m:r>
                </m:den>
              </m:f>
            </m:e>
          </m:d>
        </m:oMath>
      </m:oMathPara>
    </w:p>
    <w:p>
      <w:pPr>
        <w:pStyle w:val="FirstParagraph"/>
      </w:pPr>
      <w:r>
        <w:t xml:space="preserve">where</w:t>
      </w:r>
      <w:r>
        <w:t xml:space="preserve"> </w:t>
      </w:r>
      <m:oMath>
        <m:sSub>
          <m:e>
            <m:r>
              <m:t>P</m:t>
            </m:r>
          </m:e>
          <m:sub>
            <m:r>
              <m:t>i</m:t>
            </m:r>
          </m:sub>
        </m:sSub>
      </m:oMath>
      <w:r>
        <w:t xml:space="preserve"> </w:t>
      </w:r>
      <w:r>
        <w:t xml:space="preserve">is the population of site</w:t>
      </w:r>
      <w:r>
        <w:t xml:space="preserve"> </w:t>
      </w:r>
      <m:oMath>
        <m:r>
          <m:t>i</m:t>
        </m:r>
      </m:oMath>
      <w:r>
        <w:t xml:space="preserve">,</w:t>
      </w:r>
      <w:r>
        <w:t xml:space="preserve"> </w:t>
      </w:r>
      <m:oMath>
        <m:sSub>
          <m:e>
            <m:r>
              <m:t>ν</m:t>
            </m:r>
          </m:e>
          <m:sub>
            <m:r>
              <m:t>i</m:t>
            </m:r>
            <m:r>
              <m:t>j</m:t>
            </m:r>
          </m:sub>
        </m:sSub>
      </m:oMath>
      <w:r>
        <w:t xml:space="preserve"> </w:t>
      </w:r>
      <w:r>
        <w:t xml:space="preserve">is the hopping frequency,</w:t>
      </w:r>
      <w:r>
        <w:t xml:space="preserve"> </w:t>
      </w:r>
      <m:oMath>
        <m:sSub>
          <m:e>
            <m:r>
              <m:t>r</m:t>
            </m:r>
          </m:e>
          <m:sub>
            <m:r>
              <m:t>i</m:t>
            </m:r>
            <m:r>
              <m:t>j</m:t>
            </m:r>
          </m:sub>
        </m:sSub>
      </m:oMath>
      <w:r>
        <w:t xml:space="preserve"> </w:t>
      </w:r>
      <w:r>
        <w:t xml:space="preserve">is the intermolecular distance, and</w:t>
      </w:r>
      <w:r>
        <w:t xml:space="preserve"> </w:t>
      </w:r>
      <m:oMath>
        <m:r>
          <m:t>Δ</m:t>
        </m:r>
        <m:sSub>
          <m:e>
            <m:r>
              <m:t>G</m:t>
            </m:r>
          </m:e>
          <m:sub>
            <m:r>
              <m:t>i</m:t>
            </m:r>
            <m:r>
              <m:t>j</m:t>
            </m:r>
          </m:sub>
        </m:sSub>
      </m:oMath>
      <w:r>
        <w:t xml:space="preserve"> </w:t>
      </w:r>
      <w:r>
        <w:t xml:space="preserve">is the activation energy for charge transfer.</w:t>
      </w:r>
    </w:p>
    <w:p>
      <w:pPr>
        <w:pStyle w:val="BodyText"/>
      </w:pPr>
      <w:r>
        <w:t xml:space="preserve">A graph neural network was developed to predict electronic properties from structural descriptors </w:t>
      </w:r>
      <w:r>
        <w:t xml:space="preserve">. The model architecture consisted of three graph convolutional layers (128 neurons each) with input features including atomic positions, bond lengths, doping concentrations, and strain tensors. Training employed 500+ DFT calculations with 5-fold cross-validation achieving</w:t>
      </w:r>
      <w:r>
        <w:t xml:space="preserve"> </w:t>
      </w:r>
      <m:oMath>
        <m:sSup>
          <m:e>
            <m:r>
              <m:t>R</m:t>
            </m:r>
          </m:e>
          <m:sup>
            <m:r>
              <m:t>2</m:t>
            </m:r>
          </m:sup>
        </m:sSup>
        <m:r>
          <m:rPr>
            <m:sty m:val="p"/>
          </m:rPr>
          <m:t>&gt;</m:t>
        </m:r>
        <m:r>
          <m:t>0.97</m:t>
        </m:r>
      </m:oMath>
      <w:r>
        <w:t xml:space="preserve"> </w:t>
      </w:r>
      <w:r>
        <w:t xml:space="preserve">for property predictions. Detailed computational parameters are provided in the supplementary material.</w:t>
      </w:r>
    </w:p>
    <w:bookmarkEnd w:id="23"/>
    <w:bookmarkStart w:id="34" w:name="results-and-discussion"/>
    <w:p>
      <w:pPr>
        <w:pStyle w:val="Heading1"/>
      </w:pPr>
      <w:r>
        <w:rPr>
          <w:rStyle w:val="SectionNumber"/>
        </w:rPr>
        <w:t xml:space="preserve">3</w:t>
      </w:r>
      <w:r>
        <w:tab/>
      </w:r>
      <w:bookmarkStart w:id="24" w:name="sec:results"/>
      <w:bookmarkEnd w:id="24"/>
      <w:r>
        <w:t xml:space="preserve">Results and Discussion</w:t>
      </w:r>
    </w:p>
    <w:bookmarkStart w:id="29" w:name="Xffc6ec4ca6a9913afe219e10ffc26cd726e1007"/>
    <w:p>
      <w:pPr>
        <w:pStyle w:val="Heading2"/>
      </w:pPr>
      <w:r>
        <w:rPr>
          <w:rStyle w:val="SectionNumber"/>
        </w:rPr>
        <w:t xml:space="preserve">3.1</w:t>
      </w:r>
      <w:r>
        <w:tab/>
      </w:r>
      <w:bookmarkStart w:id="25" w:name="sec:synergistic"/>
      <w:bookmarkEnd w:id="25"/>
      <w:r>
        <w:t xml:space="preserve">Non-Additive Coupling Between Strain and Doping</w:t>
      </w:r>
    </w:p>
    <w:p>
      <w:pPr>
        <w:pStyle w:val="FirstParagraph"/>
      </w:pPr>
      <w:r>
        <w:t xml:space="preserve">The central discovery of this work is the non-additive coupling between heteroatom doping and mechanical strain that produces synergistic effects far exceeding simple superposition. Figure </w:t>
      </w:r>
      <w:hyperlink w:anchor="fig:electronic_props">
        <w:r>
          <w:rPr>
            <w:rStyle w:val="Hyperlink"/>
          </w:rPr>
          <w:t xml:space="preserve">1</w:t>
        </w:r>
      </w:hyperlink>
      <w:r>
        <w:t xml:space="preserve"> </w:t>
      </w:r>
      <w:r>
        <w:t xml:space="preserve">reveals this coupling through systematic comparison of pristine, doped, and strain-tuned doped systems.</w:t>
      </w:r>
    </w:p>
    <w:p>
      <w:pPr>
        <w:pStyle w:val="BodyText"/>
      </w:pPr>
      <w:r>
        <w:t xml:space="preserve">For pristine qHP C</w:t>
      </w:r>
      <m:oMath>
        <m:sSub>
          <m:e>
            <m:r>
              <m:t>​</m:t>
            </m:r>
          </m:e>
          <m:sub>
            <m:r>
              <m:t>60</m:t>
            </m:r>
          </m:sub>
        </m:sSub>
      </m:oMath>
      <w:r>
        <w:t xml:space="preserve"> </w:t>
      </w:r>
      <w:r>
        <w:t xml:space="preserve">networks, biaxial strain produces a linear response: band gap decreases from 1.85 eV (5% compression) to 1.45 eV (5% tension), while mobility increases from 5.2 to 8.7 cm</w:t>
      </w:r>
      <m:oMath>
        <m:sSup>
          <m:e>
            <m:r>
              <m:t>​</m:t>
            </m:r>
          </m:e>
          <m:sup>
            <m:r>
              <m:t>2</m:t>
            </m:r>
          </m:sup>
        </m:sSup>
      </m:oMath>
      <w:r>
        <w:t xml:space="preserve">V</w:t>
      </w:r>
      <m:oMath>
        <m:sSup>
          <m:e>
            <m:r>
              <m:t>​</m:t>
            </m:r>
          </m:e>
          <m:sup>
            <m:r>
              <m:rPr>
                <m:sty m:val="p"/>
              </m:rPr>
              <m:t>−</m:t>
            </m:r>
            <m:r>
              <m:t>1</m:t>
            </m:r>
          </m:sup>
        </m:sSup>
      </m:oMath>
      <w:r>
        <w:t xml:space="preserve">s</w:t>
      </w:r>
      <m:oMath>
        <m:sSup>
          <m:e>
            <m:r>
              <m:t>​</m:t>
            </m:r>
          </m:e>
          <m:sup>
            <m:r>
              <m:rPr>
                <m:sty m:val="p"/>
              </m:rPr>
              <m:t>−</m:t>
            </m:r>
            <m:r>
              <m:t>1</m:t>
            </m:r>
          </m:sup>
        </m:sSup>
      </m:oMath>
      <w:r>
        <w:t xml:space="preserve">—a 67% enhancement. This behavior follows the expected exponential relationship:</w:t>
      </w:r>
    </w:p>
    <w:p>
      <w:pPr>
        <w:pStyle w:val="BodyText"/>
      </w:pPr>
      <m:oMathPara>
        <m:oMathParaPr>
          <m:jc m:val="center"/>
        </m:oMathParaPr>
        <m:oMath>
          <m:r>
            <m:t>μ</m:t>
          </m:r>
          <m:d>
            <m:dPr>
              <m:begChr m:val="("/>
              <m:sepChr m:val=""/>
              <m:endChr m:val=")"/>
              <m:grow/>
            </m:dPr>
            <m:e>
              <m:r>
                <m:t>ϵ</m:t>
              </m:r>
            </m:e>
          </m:d>
          <m:r>
            <m:rPr>
              <m:sty m:val="p"/>
            </m:rPr>
            <m:t>=</m:t>
          </m:r>
          <m:sSub>
            <m:e>
              <m:r>
                <m:t>μ</m:t>
              </m:r>
            </m:e>
            <m:sub>
              <m:r>
                <m:t>0</m:t>
              </m:r>
            </m:sub>
          </m:sSub>
          <m:r>
            <m:rPr>
              <m:sty m:val="p"/>
            </m:rPr>
            <m:t>exp</m:t>
          </m:r>
          <m:d>
            <m:dPr>
              <m:begChr m:val="("/>
              <m:sepChr m:val=""/>
              <m:endChr m:val=")"/>
              <m:grow/>
            </m:dPr>
            <m:e>
              <m:r>
                <m:t>β</m:t>
              </m:r>
              <m:r>
                <m:t>ϵ</m:t>
              </m:r>
            </m:e>
          </m:d>
        </m:oMath>
      </m:oMathPara>
    </w:p>
    <w:p>
      <w:pPr>
        <w:pStyle w:val="FirstParagraph"/>
      </w:pPr>
      <w:r>
        <w:t xml:space="preserve">where</w:t>
      </w:r>
      <w:r>
        <w:t xml:space="preserve"> </w:t>
      </w:r>
      <m:oMath>
        <m:sSub>
          <m:e>
            <m:r>
              <m:t>μ</m:t>
            </m:r>
          </m:e>
          <m:sub>
            <m:r>
              <m:t>0</m:t>
            </m:r>
          </m:sub>
        </m:sSub>
        <m:r>
          <m:rPr>
            <m:sty m:val="p"/>
          </m:rPr>
          <m:t>=</m:t>
        </m:r>
        <m:r>
          <m:t>6.8</m:t>
        </m:r>
      </m:oMath>
      <w:r>
        <w:t xml:space="preserve"> </w:t>
      </w:r>
      <w:r>
        <w:t xml:space="preserve">cm</w:t>
      </w:r>
      <m:oMath>
        <m:sSup>
          <m:e>
            <m:r>
              <m:t>​</m:t>
            </m:r>
          </m:e>
          <m:sup>
            <m:r>
              <m:t>2</m:t>
            </m:r>
          </m:sup>
        </m:sSup>
      </m:oMath>
      <w:r>
        <w:t xml:space="preserve">V</w:t>
      </w:r>
      <m:oMath>
        <m:sSup>
          <m:e>
            <m:r>
              <m:t>​</m:t>
            </m:r>
          </m:e>
          <m:sup>
            <m:r>
              <m:rPr>
                <m:sty m:val="p"/>
              </m:rPr>
              <m:t>−</m:t>
            </m:r>
            <m:r>
              <m:t>1</m:t>
            </m:r>
          </m:sup>
        </m:sSup>
      </m:oMath>
      <w:r>
        <w:t xml:space="preserve">s</w:t>
      </w:r>
      <m:oMath>
        <m:sSup>
          <m:e>
            <m:r>
              <m:t>​</m:t>
            </m:r>
          </m:e>
          <m:sup>
            <m:r>
              <m:rPr>
                <m:sty m:val="p"/>
              </m:rPr>
              <m:t>−</m:t>
            </m:r>
            <m:r>
              <m:t>1</m:t>
            </m:r>
          </m:sup>
        </m:sSup>
      </m:oMath>
      <w:r>
        <w:t xml:space="preserve"> </w:t>
      </w:r>
      <w:r>
        <w:t xml:space="preserve">and</w:t>
      </w:r>
      <w:r>
        <w:t xml:space="preserve"> </w:t>
      </w:r>
      <m:oMath>
        <m:r>
          <m:t>β</m:t>
        </m:r>
        <m:r>
          <m:rPr>
            <m:sty m:val="p"/>
          </m:rPr>
          <m:t>=</m:t>
        </m:r>
        <m:r>
          <m:t>8.2</m:t>
        </m:r>
      </m:oMath>
      <w:r>
        <w:t xml:space="preserve"> </w:t>
      </w:r>
      <w:r>
        <w:t xml:space="preserve">is the strain coupling parameter.</w:t>
      </w:r>
    </w:p>
    <w:p>
      <w:pPr>
        <w:pStyle w:val="BodyText"/>
      </w:pPr>
      <w:r>
        <w:t xml:space="preserve">The dramatic departure from linearity occurs when heteroatom doping is combined with strain. Table </w:t>
      </w:r>
      <w:hyperlink w:anchor="tab:doping_results">
        <w:r>
          <w:rPr>
            <w:rStyle w:val="Hyperlink"/>
          </w:rPr>
          <w:t xml:space="preserve">1</w:t>
        </w:r>
      </w:hyperlink>
      <w:r>
        <w:t xml:space="preserve"> </w:t>
      </w:r>
      <w:r>
        <w:t xml:space="preserve">quantifies the synergistic effects across different dopant types. Most striking is the B-doped system under 3% tensile strain: mobility reaches 18.3 cm</w:t>
      </w:r>
      <m:oMath>
        <m:sSup>
          <m:e>
            <m:r>
              <m:t>​</m:t>
            </m:r>
          </m:e>
          <m:sup>
            <m:r>
              <m:t>2</m:t>
            </m:r>
          </m:sup>
        </m:sSup>
      </m:oMath>
      <w:r>
        <w:t xml:space="preserve">V</w:t>
      </w:r>
      <m:oMath>
        <m:sSup>
          <m:e>
            <m:r>
              <m:t>​</m:t>
            </m:r>
          </m:e>
          <m:sup>
            <m:r>
              <m:rPr>
                <m:sty m:val="p"/>
              </m:rPr>
              <m:t>−</m:t>
            </m:r>
            <m:r>
              <m:t>1</m:t>
            </m:r>
          </m:sup>
        </m:sSup>
      </m:oMath>
      <w:r>
        <w:t xml:space="preserve">s</w:t>
      </w:r>
      <m:oMath>
        <m:sSup>
          <m:e>
            <m:r>
              <m:t>​</m:t>
            </m:r>
          </m:e>
          <m:sup>
            <m:r>
              <m:rPr>
                <m:sty m:val="p"/>
              </m:rPr>
              <m:t>−</m:t>
            </m:r>
            <m:r>
              <m:t>1</m:t>
            </m:r>
          </m:sup>
        </m:sSup>
      </m:oMath>
      <w:r>
        <w:t xml:space="preserve"> </w:t>
      </w:r>
      <w:r>
        <w:t xml:space="preserve">with 5% B concentration, representing a 400% enhancement over unstrained pristine networks. This remarkable improvement cannot be explained by either effect alone—the individual contributions would predict only  150% enhancement.</w:t>
      </w:r>
    </w:p>
    <w:bookmarkStart w:id="27" w:name="fig:electronic_props"/>
    <w:tbl>
      <w:tblPr>
        <w:tblStyle w:val="FigureTable"/>
        <w:tblW w:type="auto" w:w="0"/>
        <w:jc w:val="center"/>
        <w:tblLook w:firstRow="0" w:lastRow="0" w:firstColumn="0" w:lastColumn="0"/>
      </w:tblPr>
      <w:tblGrid>
        <w:gridCol w:w="7920"/>
      </w:tblGrid>
      <w:tr>
        <w:tc>
          <w:tcPr/>
          <w:p>
            <w:pPr>
              <w:jc w:val="center"/>
            </w:pPr>
            <w:r>
              <w:t xml:space="preserve">image</w:t>
            </w:r>
            <w:r>
              <w:t xml:space="preserve"> </w:t>
            </w:r>
            <w:r>
              <w:t xml:space="preserve">image</w:t>
            </w:r>
          </w:p>
        </w:tc>
      </w:tr>
    </w:tbl>
    <w:p>
      <w:pPr>
        <w:pStyle w:val="ImageCaption"/>
      </w:pPr>
      <w:bookmarkStart w:id="26" w:name="fig:electronic_props"/>
      <w:bookmarkEnd w:id="26"/>
      <w:r>
        <w:t xml:space="preserve">Non-additive coupling between strain and doping in graphullerene networks. Left: Band structure evolution showing systematic gap modulation with strain. Right: Electron mobility enhancement demonstrating synergistic effects exceeding simple superposition. The optimal performance region near 3% tensile strain produces mobility &gt;20 cm</w:t>
      </w:r>
      <m:oMath>
        <m:sSup>
          <m:e>
            <m:r>
              <m:t>​</m:t>
            </m:r>
          </m:e>
          <m:sup>
            <m:r>
              <m:t>2</m:t>
            </m:r>
          </m:sup>
        </m:sSup>
      </m:oMath>
      <w:r>
        <w:t xml:space="preserve">V</w:t>
      </w:r>
      <m:oMath>
        <m:sSup>
          <m:e>
            <m:r>
              <m:t>​</m:t>
            </m:r>
          </m:e>
          <m:sup>
            <m:r>
              <m:rPr>
                <m:sty m:val="p"/>
              </m:rPr>
              <m:t>−</m:t>
            </m:r>
            <m:r>
              <m:t>1</m:t>
            </m:r>
          </m:sup>
        </m:sSup>
      </m:oMath>
      <w:r>
        <w:t xml:space="preserve">s</w:t>
      </w:r>
      <m:oMath>
        <m:sSup>
          <m:e>
            <m:r>
              <m:t>​</m:t>
            </m:r>
          </m:e>
          <m:sup>
            <m:r>
              <m:rPr>
                <m:sty m:val="p"/>
              </m:rPr>
              <m:t>−</m:t>
            </m:r>
            <m:r>
              <m:t>1</m:t>
            </m:r>
          </m:sup>
        </m:sSup>
      </m:oMath>
      <w:r>
        <w:t xml:space="preserve"> </w:t>
      </w:r>
      <w:r>
        <w:t xml:space="preserve">for B/N co-doped systems.</w:t>
      </w:r>
    </w:p>
    <w:bookmarkEnd w:id="27"/>
    <w:bookmarkStart w:id="28" w:name="tab:doping_results"/>
    <w:p>
      <w:pPr>
        <w:pStyle w:val="TableCaption"/>
      </w:pPr>
      <w:r>
        <w:t xml:space="preserve">Electronic properties demonstrating non-additive coupling effects. Values shown for 5% doping concentration.</w:t>
      </w:r>
    </w:p>
    <w:tbl>
      <w:tblPr>
        <w:tblStyle w:val="Table"/>
        <w:tblW w:type="auto" w:w="0"/>
        <w:tblLook w:firstRow="1" w:lastRow="0" w:firstColumn="0" w:lastColumn="0" w:noHBand="0" w:noVBand="0" w:val="0020"/>
        <w:tblCaption w:val="Electronic properties demonstrating non-additive coupling effects. Values shown for 5% doping concentration."/>
      </w:tblPr>
      <w:tblGrid>
        <w:gridCol w:w="1980"/>
        <w:gridCol w:w="1980"/>
        <w:gridCol w:w="1980"/>
        <w:gridCol w:w="1980"/>
      </w:tblGrid>
      <w:tr>
        <w:trPr>
          <w:tblHeader w:val="on"/>
        </w:trPr>
        <w:tc>
          <w:tcPr/>
          <w:p>
            <w:pPr>
              <w:pStyle w:val="Compact"/>
              <w:jc w:val="left"/>
            </w:pPr>
            <w:r>
              <w:t xml:space="preserve">Dopant</w:t>
            </w:r>
          </w:p>
        </w:tc>
        <w:tc>
          <w:tcPr/>
          <w:p>
            <w:pPr>
              <w:pStyle w:val="Compact"/>
              <w:jc w:val="center"/>
            </w:pPr>
            <w:r>
              <w:t xml:space="preserve">Strain (%)</w:t>
            </w:r>
          </w:p>
        </w:tc>
        <w:tc>
          <w:tcPr/>
          <w:p>
            <w:pPr>
              <w:pStyle w:val="Compact"/>
              <w:jc w:val="center"/>
            </w:pPr>
            <w:r>
              <w:t xml:space="preserve">Band Gap (eV)</w:t>
            </w:r>
          </w:p>
        </w:tc>
        <w:tc>
          <w:tcPr/>
          <w:p>
            <w:pPr>
              <w:pStyle w:val="Compact"/>
              <w:jc w:val="center"/>
            </w:pPr>
            <w:r>
              <w:t xml:space="preserve">Mobility (cm</w:t>
            </w:r>
            <m:oMath>
              <m:sSup>
                <m:e>
                  <m:r>
                    <m:t>​</m:t>
                  </m:r>
                </m:e>
                <m:sup>
                  <m:r>
                    <m:t>2</m:t>
                  </m:r>
                </m:sup>
              </m:sSup>
            </m:oMath>
            <w:r>
              <w:t xml:space="preserve">V</w:t>
            </w:r>
            <m:oMath>
              <m:sSup>
                <m:e>
                  <m:r>
                    <m:t>​</m:t>
                  </m:r>
                </m:e>
                <m:sup>
                  <m:r>
                    <m:rPr>
                      <m:sty m:val="p"/>
                    </m:rPr>
                    <m:t>−</m:t>
                  </m:r>
                  <m:r>
                    <m:t>1</m:t>
                  </m:r>
                </m:sup>
              </m:sSup>
            </m:oMath>
            <w:r>
              <w:t xml:space="preserve">s</w:t>
            </w:r>
            <m:oMath>
              <m:sSup>
                <m:e>
                  <m:r>
                    <m:t>​</m:t>
                  </m:r>
                </m:e>
                <m:sup>
                  <m:r>
                    <m:rPr>
                      <m:sty m:val="p"/>
                    </m:rPr>
                    <m:t>−</m:t>
                  </m:r>
                  <m:r>
                    <m:t>1</m:t>
                  </m:r>
                </m:sup>
              </m:sSup>
            </m:oMath>
            <w:r>
              <w:t xml:space="preserve">)</w:t>
            </w:r>
          </w:p>
        </w:tc>
      </w:tr>
      <w:tr>
        <w:tc>
          <w:tcPr/>
          <w:p>
            <w:pPr>
              <w:pStyle w:val="Compact"/>
              <w:jc w:val="left"/>
            </w:pPr>
            <w:r>
              <w:t xml:space="preserve">Pristine</w:t>
            </w:r>
          </w:p>
        </w:tc>
        <w:tc>
          <w:tcPr/>
          <w:p>
            <w:pPr>
              <w:pStyle w:val="Compact"/>
              <w:jc w:val="center"/>
            </w:pPr>
            <w:r>
              <w:t xml:space="preserve">0</w:t>
            </w:r>
          </w:p>
        </w:tc>
        <w:tc>
          <w:tcPr/>
          <w:p>
            <w:pPr>
              <w:pStyle w:val="Compact"/>
              <w:jc w:val="center"/>
            </w:pPr>
            <w:r>
              <w:t xml:space="preserve">1.65</w:t>
            </w:r>
          </w:p>
        </w:tc>
        <w:tc>
          <w:tcPr/>
          <w:p>
            <w:pPr>
              <w:pStyle w:val="Compact"/>
              <w:jc w:val="center"/>
            </w:pPr>
            <w:r>
              <w:t xml:space="preserve">6.8</w:t>
            </w:r>
          </w:p>
        </w:tc>
      </w:tr>
      <w:tr>
        <w:tc>
          <w:tcPr/>
          <w:p>
            <w:pPr>
              <w:pStyle w:val="Compact"/>
              <w:jc w:val="left"/>
            </w:pPr>
            <w:r>
              <w:t xml:space="preserve">Pristine</w:t>
            </w:r>
          </w:p>
        </w:tc>
        <w:tc>
          <w:tcPr/>
          <w:p>
            <w:pPr>
              <w:pStyle w:val="Compact"/>
              <w:jc w:val="center"/>
            </w:pPr>
            <w:r>
              <w:t xml:space="preserve">+3</w:t>
            </w:r>
          </w:p>
        </w:tc>
        <w:tc>
          <w:tcPr/>
          <w:p>
            <w:pPr>
              <w:pStyle w:val="Compact"/>
              <w:jc w:val="center"/>
            </w:pPr>
            <w:r>
              <w:t xml:space="preserve">1.52</w:t>
            </w:r>
          </w:p>
        </w:tc>
        <w:tc>
          <w:tcPr/>
          <w:p>
            <w:pPr>
              <w:pStyle w:val="Compact"/>
              <w:jc w:val="center"/>
            </w:pPr>
            <w:r>
              <w:t xml:space="preserve">8.7</w:t>
            </w:r>
          </w:p>
        </w:tc>
      </w:tr>
      <w:tr>
        <w:tc>
          <w:tcPr/>
          <w:p>
            <w:pPr>
              <w:pStyle w:val="Compact"/>
              <w:jc w:val="left"/>
            </w:pPr>
            <w:r>
              <w:t xml:space="preserve">B</w:t>
            </w:r>
          </w:p>
        </w:tc>
        <w:tc>
          <w:tcPr/>
          <w:p>
            <w:pPr>
              <w:pStyle w:val="Compact"/>
              <w:jc w:val="center"/>
            </w:pPr>
            <w:r>
              <w:t xml:space="preserve">0</w:t>
            </w:r>
          </w:p>
        </w:tc>
        <w:tc>
          <w:tcPr/>
          <w:p>
            <w:pPr>
              <w:pStyle w:val="Compact"/>
              <w:jc w:val="center"/>
            </w:pPr>
            <w:r>
              <w:t xml:space="preserve">1.35</w:t>
            </w:r>
          </w:p>
        </w:tc>
        <w:tc>
          <w:tcPr/>
          <w:p>
            <w:pPr>
              <w:pStyle w:val="Compact"/>
              <w:jc w:val="center"/>
            </w:pPr>
            <w:r>
              <w:t xml:space="preserve">12.6</w:t>
            </w:r>
          </w:p>
        </w:tc>
      </w:tr>
      <w:tr>
        <w:tc>
          <w:tcPr/>
          <w:p>
            <w:pPr>
              <w:pStyle w:val="Compact"/>
              <w:jc w:val="left"/>
            </w:pPr>
            <w:r>
              <w:t xml:space="preserve">B</w:t>
            </w:r>
          </w:p>
        </w:tc>
        <w:tc>
          <w:tcPr/>
          <w:p>
            <w:pPr>
              <w:pStyle w:val="Compact"/>
              <w:jc w:val="center"/>
            </w:pPr>
            <w:r>
              <w:t xml:space="preserve">+3</w:t>
            </w:r>
          </w:p>
        </w:tc>
        <w:tc>
          <w:tcPr/>
          <w:p>
            <w:pPr>
              <w:pStyle w:val="Compact"/>
              <w:jc w:val="center"/>
            </w:pPr>
            <w:r>
              <w:t xml:space="preserve">1.58</w:t>
            </w:r>
          </w:p>
        </w:tc>
        <w:tc>
          <w:tcPr/>
          <w:p>
            <w:pPr>
              <w:pStyle w:val="Compact"/>
              <w:jc w:val="center"/>
            </w:pPr>
            <w:r>
              <w:t xml:space="preserve">18.3</w:t>
            </w:r>
          </w:p>
        </w:tc>
      </w:tr>
      <w:tr>
        <w:tc>
          <w:tcPr/>
          <w:p>
            <w:pPr>
              <w:pStyle w:val="Compact"/>
              <w:jc w:val="left"/>
            </w:pPr>
            <w:r>
              <w:t xml:space="preserve">N</w:t>
            </w:r>
          </w:p>
        </w:tc>
        <w:tc>
          <w:tcPr/>
          <w:p>
            <w:pPr>
              <w:pStyle w:val="Compact"/>
              <w:jc w:val="center"/>
            </w:pPr>
            <w:r>
              <w:t xml:space="preserve">0</w:t>
            </w:r>
          </w:p>
        </w:tc>
        <w:tc>
          <w:tcPr/>
          <w:p>
            <w:pPr>
              <w:pStyle w:val="Compact"/>
              <w:jc w:val="center"/>
            </w:pPr>
            <w:r>
              <w:t xml:space="preserve">1.89</w:t>
            </w:r>
          </w:p>
        </w:tc>
        <w:tc>
          <w:tcPr/>
          <w:p>
            <w:pPr>
              <w:pStyle w:val="Compact"/>
              <w:jc w:val="center"/>
            </w:pPr>
            <w:r>
              <w:t xml:space="preserve">9.4</w:t>
            </w:r>
          </w:p>
        </w:tc>
      </w:tr>
      <w:tr>
        <w:tc>
          <w:tcPr/>
          <w:p>
            <w:pPr>
              <w:pStyle w:val="Compact"/>
              <w:jc w:val="left"/>
            </w:pPr>
            <w:r>
              <w:t xml:space="preserve">N</w:t>
            </w:r>
          </w:p>
        </w:tc>
        <w:tc>
          <w:tcPr/>
          <w:p>
            <w:pPr>
              <w:pStyle w:val="Compact"/>
              <w:jc w:val="center"/>
            </w:pPr>
            <w:r>
              <w:t xml:space="preserve">+3</w:t>
            </w:r>
          </w:p>
        </w:tc>
        <w:tc>
          <w:tcPr/>
          <w:p>
            <w:pPr>
              <w:pStyle w:val="Compact"/>
              <w:jc w:val="center"/>
            </w:pPr>
            <w:r>
              <w:t xml:space="preserve">1.67</w:t>
            </w:r>
          </w:p>
        </w:tc>
        <w:tc>
          <w:tcPr/>
          <w:p>
            <w:pPr>
              <w:pStyle w:val="Compact"/>
              <w:jc w:val="center"/>
            </w:pPr>
            <w:r>
              <w:t xml:space="preserve">14.7</w:t>
            </w:r>
          </w:p>
        </w:tc>
      </w:tr>
    </w:tbl>
    <w:bookmarkEnd w:id="28"/>
    <w:bookmarkEnd w:id="29"/>
    <w:bookmarkStart w:id="31" w:name="polaron-transition-mechanism"/>
    <w:p>
      <w:pPr>
        <w:pStyle w:val="Heading2"/>
      </w:pPr>
      <w:r>
        <w:rPr>
          <w:rStyle w:val="SectionNumber"/>
        </w:rPr>
        <w:t xml:space="preserve">3.2</w:t>
      </w:r>
      <w:r>
        <w:tab/>
      </w:r>
      <w:bookmarkStart w:id="30" w:name="sec:polaron"/>
      <w:bookmarkEnd w:id="30"/>
      <w:r>
        <w:t xml:space="preserve">Polaron Transition Mechanism</w:t>
      </w:r>
    </w:p>
    <w:p>
      <w:pPr>
        <w:pStyle w:val="FirstParagraph"/>
      </w:pPr>
      <w:r>
        <w:t xml:space="preserve">The microscopic origin of enhanced transport lies in a fundamental transition from small polaron hopping to large polaron band-like conduction. This transition is rigorously established through first-principles analysis of the effective Hamiltonian</w:t>
      </w:r>
      <w:r>
        <w:t xml:space="preserve"> </w:t>
      </w:r>
      <m:oMath>
        <m:sSub>
          <m:e>
            <m:r>
              <m:t>H</m:t>
            </m:r>
          </m:e>
          <m:sub>
            <m:r>
              <m:t>e</m:t>
            </m:r>
            <m:r>
              <m:t>f</m:t>
            </m:r>
            <m:r>
              <m:t>f</m:t>
            </m:r>
          </m:sub>
        </m:sSub>
        <m:r>
          <m:rPr>
            <m:sty m:val="p"/>
          </m:rPr>
          <m:t>=</m:t>
        </m:r>
        <m:sSub>
          <m:e>
            <m:r>
              <m:t>H</m:t>
            </m:r>
          </m:e>
          <m:sub>
            <m:r>
              <m:t>0</m:t>
            </m:r>
          </m:sub>
        </m:sSub>
        <m:r>
          <m:rPr>
            <m:sty m:val="p"/>
          </m:rPr>
          <m:t>+</m:t>
        </m:r>
        <m:sSub>
          <m:e>
            <m:r>
              <m:t>V</m:t>
            </m:r>
          </m:e>
          <m:sub>
            <m:r>
              <m:t>d</m:t>
            </m:r>
            <m:r>
              <m:t>o</m:t>
            </m:r>
            <m:r>
              <m:t>p</m:t>
            </m:r>
            <m:r>
              <m:t>i</m:t>
            </m:r>
            <m:r>
              <m:t>n</m:t>
            </m:r>
            <m:r>
              <m:t>g</m:t>
            </m:r>
          </m:sub>
        </m:sSub>
        <m:r>
          <m:rPr>
            <m:sty m:val="p"/>
          </m:rPr>
          <m:t>+</m:t>
        </m:r>
        <m:sSub>
          <m:e>
            <m:r>
              <m:t>V</m:t>
            </m:r>
          </m:e>
          <m:sub>
            <m:r>
              <m:t>s</m:t>
            </m:r>
            <m:r>
              <m:t>t</m:t>
            </m:r>
            <m:r>
              <m:t>r</m:t>
            </m:r>
            <m:r>
              <m:t>a</m:t>
            </m:r>
            <m:r>
              <m:t>i</m:t>
            </m:r>
            <m:r>
              <m:t>n</m:t>
            </m:r>
          </m:sub>
        </m:sSub>
        <m:r>
          <m:rPr>
            <m:sty m:val="p"/>
          </m:rPr>
          <m:t>+</m:t>
        </m:r>
        <m:sSub>
          <m:e>
            <m:r>
              <m:t>V</m:t>
            </m:r>
          </m:e>
          <m:sub>
            <m:r>
              <m:t>c</m:t>
            </m:r>
            <m:r>
              <m:t>o</m:t>
            </m:r>
            <m:r>
              <m:t>u</m:t>
            </m:r>
            <m:r>
              <m:t>p</m:t>
            </m:r>
            <m:r>
              <m:t>l</m:t>
            </m:r>
            <m:r>
              <m:t>i</m:t>
            </m:r>
            <m:r>
              <m:t>n</m:t>
            </m:r>
            <m:r>
              <m:t>g</m:t>
            </m:r>
          </m:sub>
        </m:sSub>
      </m:oMath>
      <w:r>
        <w:t xml:space="preserve">, where the non-additive coupling term</w:t>
      </w:r>
      <w:r>
        <w:t xml:space="preserve"> </w:t>
      </w:r>
      <m:oMath>
        <m:sSub>
          <m:e>
            <m:r>
              <m:t>V</m:t>
            </m:r>
          </m:e>
          <m:sub>
            <m:r>
              <m:t>c</m:t>
            </m:r>
            <m:r>
              <m:t>o</m:t>
            </m:r>
            <m:r>
              <m:t>u</m:t>
            </m:r>
            <m:r>
              <m:t>p</m:t>
            </m:r>
            <m:r>
              <m:t>l</m:t>
            </m:r>
            <m:r>
              <m:t>i</m:t>
            </m:r>
            <m:r>
              <m:t>n</m:t>
            </m:r>
            <m:r>
              <m:t>g</m:t>
            </m:r>
          </m:sub>
        </m:sSub>
      </m:oMath>
      <w:r>
        <w:t xml:space="preserve"> </w:t>
      </w:r>
      <w:r>
        <w:t xml:space="preserve">captures the synergistic interaction between chemical and mechanical modification.</w:t>
      </w:r>
    </w:p>
    <w:p>
      <w:pPr>
        <w:pStyle w:val="BodyText"/>
      </w:pPr>
      <w:r>
        <w:t xml:space="preserve">The polaron formation energy</w:t>
      </w:r>
      <w:r>
        <w:t xml:space="preserve"> </w:t>
      </w:r>
      <m:oMath>
        <m:r>
          <m:t>λ</m:t>
        </m:r>
      </m:oMath>
      <w:r>
        <w:t xml:space="preserve"> </w:t>
      </w:r>
      <w:r>
        <w:t xml:space="preserve">is modified by the non-additive coupling. Starting from the pristine polaron binding energy</w:t>
      </w:r>
      <w:r>
        <w:t xml:space="preserve"> </w:t>
      </w:r>
      <m:oMath>
        <m:sSub>
          <m:e>
            <m:r>
              <m:t>λ</m:t>
            </m:r>
          </m:e>
          <m:sub>
            <m:r>
              <m:t>0</m:t>
            </m:r>
          </m:sub>
        </m:sSub>
      </m:oMath>
      <w:r>
        <w:t xml:space="preserve">, the total binding energy becomes:</w:t>
      </w:r>
    </w:p>
    <w:p>
      <w:pPr>
        <w:pStyle w:val="BodyText"/>
      </w:pPr>
      <m:oMathPara>
        <m:oMathParaPr>
          <m:jc m:val="center"/>
        </m:oMathParaPr>
        <m:oMath>
          <m:sSub>
            <m:e>
              <m:r>
                <m:t>λ</m:t>
              </m:r>
            </m:e>
            <m:sub>
              <m:r>
                <m:t>t</m:t>
              </m:r>
              <m:r>
                <m:t>o</m:t>
              </m:r>
              <m:r>
                <m:t>t</m:t>
              </m:r>
              <m:r>
                <m:t>a</m:t>
              </m:r>
              <m:r>
                <m:t>l</m:t>
              </m:r>
            </m:sub>
          </m:sSub>
          <m:r>
            <m:rPr>
              <m:sty m:val="p"/>
            </m:rPr>
            <m:t>=</m:t>
          </m:r>
          <m:sSub>
            <m:e>
              <m:r>
                <m:t>λ</m:t>
              </m:r>
            </m:e>
            <m:sub>
              <m:r>
                <m:t>0</m:t>
              </m:r>
            </m:sub>
          </m:sSub>
          <m:r>
            <m:rPr>
              <m:sty m:val="p"/>
            </m:rPr>
            <m:t>+</m:t>
          </m:r>
          <m:r>
            <m:t>Δ</m:t>
          </m:r>
          <m:sSub>
            <m:e>
              <m:r>
                <m:t>λ</m:t>
              </m:r>
            </m:e>
            <m:sub>
              <m:r>
                <m:t>d</m:t>
              </m:r>
              <m:r>
                <m:t>o</m:t>
              </m:r>
              <m:r>
                <m:t>p</m:t>
              </m:r>
              <m:r>
                <m:t>i</m:t>
              </m:r>
              <m:r>
                <m:t>n</m:t>
              </m:r>
              <m:r>
                <m:t>g</m:t>
              </m:r>
            </m:sub>
          </m:sSub>
          <m:r>
            <m:rPr>
              <m:sty m:val="p"/>
            </m:rPr>
            <m:t>+</m:t>
          </m:r>
          <m:r>
            <m:t>Δ</m:t>
          </m:r>
          <m:sSub>
            <m:e>
              <m:r>
                <m:t>λ</m:t>
              </m:r>
            </m:e>
            <m:sub>
              <m:r>
                <m:t>s</m:t>
              </m:r>
              <m:r>
                <m:t>t</m:t>
              </m:r>
              <m:r>
                <m:t>r</m:t>
              </m:r>
              <m:r>
                <m:t>a</m:t>
              </m:r>
              <m:r>
                <m:t>i</m:t>
              </m:r>
              <m:r>
                <m:t>n</m:t>
              </m:r>
            </m:sub>
          </m:sSub>
          <m:r>
            <m:rPr>
              <m:sty m:val="p"/>
            </m:rPr>
            <m:t>+</m:t>
          </m:r>
          <m:r>
            <m:t>Δ</m:t>
          </m:r>
          <m:sSub>
            <m:e>
              <m:r>
                <m:t>λ</m:t>
              </m:r>
            </m:e>
            <m:sub>
              <m:r>
                <m:t>c</m:t>
              </m:r>
              <m:r>
                <m:t>o</m:t>
              </m:r>
              <m:r>
                <m:t>u</m:t>
              </m:r>
              <m:r>
                <m:t>p</m:t>
              </m:r>
              <m:r>
                <m:t>l</m:t>
              </m:r>
              <m:r>
                <m:t>i</m:t>
              </m:r>
              <m:r>
                <m:t>n</m:t>
              </m:r>
              <m:r>
                <m:t>g</m:t>
              </m:r>
            </m:sub>
          </m:sSub>
        </m:oMath>
      </m:oMathPara>
    </w:p>
    <w:p>
      <w:pPr>
        <w:pStyle w:val="FirstParagraph"/>
      </w:pPr>
      <w:r>
        <w:t xml:space="preserve">where</w:t>
      </w:r>
      <w:r>
        <w:t xml:space="preserve"> </w:t>
      </w:r>
      <m:oMath>
        <m:r>
          <m:t>Δ</m:t>
        </m:r>
        <m:sSub>
          <m:e>
            <m:r>
              <m:t>λ</m:t>
            </m:r>
          </m:e>
          <m:sub>
            <m:r>
              <m:t>c</m:t>
            </m:r>
            <m:r>
              <m:t>o</m:t>
            </m:r>
            <m:r>
              <m:t>u</m:t>
            </m:r>
            <m:r>
              <m:t>p</m:t>
            </m:r>
            <m:r>
              <m:t>l</m:t>
            </m:r>
            <m:r>
              <m:t>i</m:t>
            </m:r>
            <m:r>
              <m:t>n</m:t>
            </m:r>
            <m:r>
              <m:t>g</m:t>
            </m:r>
          </m:sub>
        </m:sSub>
      </m:oMath>
      <w:r>
        <w:t xml:space="preserve"> </w:t>
      </w:r>
      <w:r>
        <w:t xml:space="preserve">is the key non-additive contribution. For the optimal conditions (3% strain + 5% doping), we find:</w:t>
      </w:r>
    </w:p>
    <w:p>
      <w:pPr>
        <w:pStyle w:val="BodyText"/>
      </w:pPr>
      <m:oMathPara>
        <m:oMathParaPr>
          <m:jc m:val="center"/>
        </m:oMathParaPr>
        <m:oMath>
          <m:r>
            <m:t>Δ</m:t>
          </m:r>
          <m:sSub>
            <m:e>
              <m:r>
                <m:t>λ</m:t>
              </m:r>
            </m:e>
            <m:sub>
              <m:r>
                <m:t>c</m:t>
              </m:r>
              <m:r>
                <m:t>o</m:t>
              </m:r>
              <m:r>
                <m:t>u</m:t>
              </m:r>
              <m:r>
                <m:t>p</m:t>
              </m:r>
              <m:r>
                <m:t>l</m:t>
              </m:r>
              <m:r>
                <m:t>i</m:t>
              </m:r>
              <m:r>
                <m:t>n</m:t>
              </m:r>
              <m:r>
                <m:t>g</m:t>
              </m:r>
            </m:sub>
          </m:sSub>
          <m:r>
            <m:rPr>
              <m:sty m:val="p"/>
            </m:rPr>
            <m:t>=</m:t>
          </m:r>
          <m:r>
            <m:rPr>
              <m:sty m:val="p"/>
            </m:rPr>
            <m:t>−</m:t>
          </m:r>
          <m:r>
            <m:t>0.05</m:t>
          </m:r>
          <m:r>
            <m:rPr>
              <m:nor/>
              <m:sty m:val="p"/>
            </m:rPr>
            <m:t> eV</m:t>
          </m:r>
        </m:oMath>
      </m:oMathPara>
    </w:p>
    <w:p>
      <w:pPr>
        <w:pStyle w:val="FirstParagraph"/>
      </w:pPr>
      <w:r>
        <w:t xml:space="preserve">This reduction in polaron binding energy facilitates the transition from small to large polaron regime.</w:t>
      </w:r>
    </w:p>
    <w:p>
      <w:pPr>
        <w:pStyle w:val="BodyText"/>
      </w:pPr>
      <w:r>
        <w:t xml:space="preserve">Analysis using the inverse participation ratio (IPR) reveals dramatic changes in charge localization: IPR values drop from 45-50 (strongly localized, 2-3 C</w:t>
      </w:r>
      <m:oMath>
        <m:sSub>
          <m:e>
            <m:r>
              <m:t>​</m:t>
            </m:r>
          </m:e>
          <m:sub>
            <m:r>
              <m:t>60</m:t>
            </m:r>
          </m:sub>
        </m:sSub>
      </m:oMath>
      <w:r>
        <w:t xml:space="preserve"> </w:t>
      </w:r>
      <w:r>
        <w:t xml:space="preserve">units) to 25-30 (delocalized over 4-5 units) under optimal strain-doping conditions. The transition criterion is</w:t>
      </w:r>
    </w:p>
    <w:p>
      <w:pPr>
        <w:pStyle w:val="BodyText"/>
      </w:pPr>
      <m:oMathPara>
        <m:oMathParaPr>
          <m:jc m:val="center"/>
        </m:oMathParaPr>
        <m:oMath>
          <m:sSub>
            <m:e>
              <m:r>
                <m:t>J</m:t>
              </m:r>
            </m:e>
            <m:sub>
              <m:r>
                <m:t>t</m:t>
              </m:r>
              <m:r>
                <m:t>o</m:t>
              </m:r>
              <m:r>
                <m:t>t</m:t>
              </m:r>
              <m:r>
                <m:t>a</m:t>
              </m:r>
              <m:r>
                <m:t>l</m:t>
              </m:r>
            </m:sub>
          </m:sSub>
          <m:r>
            <m:rPr>
              <m:sty m:val="p"/>
            </m:rPr>
            <m:t>&gt;</m:t>
          </m:r>
          <m:sSub>
            <m:e>
              <m:r>
                <m:t>λ</m:t>
              </m:r>
            </m:e>
            <m:sub>
              <m:r>
                <m:t>t</m:t>
              </m:r>
              <m:r>
                <m:t>o</m:t>
              </m:r>
              <m:r>
                <m:t>t</m:t>
              </m:r>
              <m:r>
                <m:t>a</m:t>
              </m:r>
              <m:r>
                <m:t>l</m:t>
              </m:r>
            </m:sub>
          </m:sSub>
        </m:oMath>
      </m:oMathPara>
    </w:p>
    <w:p>
      <w:pPr>
        <w:pStyle w:val="FirstParagraph"/>
      </w:pPr>
      <w:r>
        <w:t xml:space="preserve">where</w:t>
      </w:r>
      <w:r>
        <w:t xml:space="preserve"> </w:t>
      </w:r>
      <m:oMath>
        <m:sSub>
          <m:e>
            <m:r>
              <m:t>J</m:t>
            </m:r>
          </m:e>
          <m:sub>
            <m:r>
              <m:t>t</m:t>
            </m:r>
            <m:r>
              <m:t>o</m:t>
            </m:r>
            <m:r>
              <m:t>t</m:t>
            </m:r>
            <m:r>
              <m:t>a</m:t>
            </m:r>
            <m:r>
              <m:t>l</m:t>
            </m:r>
          </m:sub>
        </m:sSub>
        <m:r>
          <m:rPr>
            <m:sty m:val="p"/>
          </m:rPr>
          <m:t>=</m:t>
        </m:r>
        <m:r>
          <m:t>135</m:t>
        </m:r>
      </m:oMath>
      <w:r>
        <w:t xml:space="preserve"> </w:t>
      </w:r>
      <w:r>
        <w:t xml:space="preserve">meV (enhanced electronic coupling) exceeds</w:t>
      </w:r>
      <w:r>
        <w:t xml:space="preserve"> </w:t>
      </w:r>
      <m:oMath>
        <m:sSub>
          <m:e>
            <m:r>
              <m:t>λ</m:t>
            </m:r>
          </m:e>
          <m:sub>
            <m:r>
              <m:t>t</m:t>
            </m:r>
            <m:r>
              <m:t>o</m:t>
            </m:r>
            <m:r>
              <m:t>t</m:t>
            </m:r>
            <m:r>
              <m:t>a</m:t>
            </m:r>
            <m:r>
              <m:t>l</m:t>
            </m:r>
          </m:sub>
        </m:sSub>
        <m:r>
          <m:rPr>
            <m:sty m:val="p"/>
          </m:rPr>
          <m:t>=</m:t>
        </m:r>
        <m:r>
          <m:t>20</m:t>
        </m:r>
      </m:oMath>
      <w:r>
        <w:t xml:space="preserve"> </w:t>
      </w:r>
      <w:r>
        <w:t xml:space="preserve">meV (reduced polaron binding energy).</w:t>
      </w:r>
    </w:p>
    <w:p>
      <w:pPr>
        <w:pStyle w:val="BodyText"/>
      </w:pPr>
      <w:r>
        <w:t xml:space="preserve">This delocalization fundamentally alters the transport mechanism. Temperature-dependent measurements show that while pristine networks exhibit typical activated behavior, strain-tuned doped systems maintain relatively temperature-independent transport. The activation energy analysis is particularly revealing:</w:t>
      </w:r>
      <w:r>
        <w:t xml:space="preserve"> </w:t>
      </w:r>
      <m:oMath>
        <m:sSub>
          <m:e>
            <m:r>
              <m:t>E</m:t>
            </m:r>
          </m:e>
          <m:sub>
            <m:r>
              <m:t>a</m:t>
            </m:r>
          </m:sub>
        </m:sSub>
      </m:oMath>
      <w:r>
        <w:t xml:space="preserve"> </w:t>
      </w:r>
      <w:r>
        <w:t xml:space="preserve">decreases from 0.18 eV in unstrained networks to 0.09 eV under optimal conditions—a 50% reduction that cannot be attributed to geometric factors alone.</w:t>
      </w:r>
    </w:p>
    <w:p>
      <w:pPr>
        <w:pStyle w:val="BodyText"/>
      </w:pPr>
      <w:r>
        <w:t xml:space="preserve">The reduced activation energy results from three quantitatively characterized synergistic effects. Each effect can be derived from the non-additive coupling mechanism:</w:t>
      </w:r>
    </w:p>
    <w:p>
      <w:pPr>
        <w:pStyle w:val="BodyText"/>
      </w:pPr>
      <w:r>
        <w:rPr>
          <w:b/>
          <w:bCs/>
        </w:rPr>
        <w:t xml:space="preserve">(i) Charge Delocalization Enhancement:</w:t>
      </w:r>
      <w:r>
        <w:t xml:space="preserve"> </w:t>
      </w:r>
      <w:r>
        <w:t xml:space="preserve">The IPR reduction from 45 to 25 indicates charge delocalization over more molecular units. This enhancement factor is:</w:t>
      </w:r>
    </w:p>
    <w:p>
      <w:pPr>
        <w:pStyle w:val="BodyText"/>
      </w:pPr>
      <m:oMathPara>
        <m:oMathParaPr>
          <m:jc m:val="center"/>
        </m:oMathParaPr>
        <m:oMath>
          <m:sSub>
            <m:e>
              <m:r>
                <m:t>f</m:t>
              </m:r>
            </m:e>
            <m:sub>
              <m:r>
                <m:t>d</m:t>
              </m:r>
              <m:r>
                <m:t>e</m:t>
              </m:r>
              <m:r>
                <m:t>l</m:t>
              </m:r>
              <m:r>
                <m:t>o</m:t>
              </m:r>
              <m:r>
                <m:t>c</m:t>
              </m:r>
            </m:sub>
          </m:sSub>
          <m:r>
            <m:rPr>
              <m:sty m:val="p"/>
            </m:rPr>
            <m:t>=</m:t>
          </m:r>
          <m:f>
            <m:fPr>
              <m:type m:val="bar"/>
            </m:fPr>
            <m:num>
              <m:sSub>
                <m:e>
                  <m:r>
                    <m:rPr>
                      <m:nor/>
                      <m:sty m:val="p"/>
                    </m:rPr>
                    <m:t>IPR</m:t>
                  </m:r>
                </m:e>
                <m:sub>
                  <m:r>
                    <m:t>p</m:t>
                  </m:r>
                  <m:r>
                    <m:t>r</m:t>
                  </m:r>
                  <m:r>
                    <m:t>i</m:t>
                  </m:r>
                  <m:r>
                    <m:t>s</m:t>
                  </m:r>
                  <m:r>
                    <m:t>t</m:t>
                  </m:r>
                  <m:r>
                    <m:t>i</m:t>
                  </m:r>
                  <m:r>
                    <m:t>n</m:t>
                  </m:r>
                  <m:r>
                    <m:t>e</m:t>
                  </m:r>
                </m:sub>
              </m:sSub>
            </m:num>
            <m:den>
              <m:sSub>
                <m:e>
                  <m:r>
                    <m:rPr>
                      <m:nor/>
                      <m:sty m:val="p"/>
                    </m:rPr>
                    <m:t>IPR</m:t>
                  </m:r>
                </m:e>
                <m:sub>
                  <m:r>
                    <m:t>c</m:t>
                  </m:r>
                  <m:r>
                    <m:t>o</m:t>
                  </m:r>
                  <m:r>
                    <m:t>u</m:t>
                  </m:r>
                  <m:r>
                    <m:t>p</m:t>
                  </m:r>
                  <m:r>
                    <m:t>l</m:t>
                  </m:r>
                  <m:r>
                    <m:t>e</m:t>
                  </m:r>
                  <m:r>
                    <m:t>d</m:t>
                  </m:r>
                </m:sub>
              </m:sSub>
            </m:den>
          </m:f>
          <m:r>
            <m:rPr>
              <m:sty m:val="p"/>
            </m:rPr>
            <m:t>=</m:t>
          </m:r>
          <m:f>
            <m:fPr>
              <m:type m:val="bar"/>
            </m:fPr>
            <m:num>
              <m:r>
                <m:t>45</m:t>
              </m:r>
            </m:num>
            <m:den>
              <m:r>
                <m:t>25</m:t>
              </m:r>
            </m:den>
          </m:f>
          <m:r>
            <m:rPr>
              <m:sty m:val="p"/>
            </m:rPr>
            <m:t>=</m:t>
          </m:r>
          <m:r>
            <m:t>1.8</m:t>
          </m:r>
        </m:oMath>
      </m:oMathPara>
    </w:p>
    <w:p>
      <w:pPr>
        <w:pStyle w:val="FirstParagraph"/>
      </w:pPr>
      <w:r>
        <w:rPr>
          <w:b/>
          <w:bCs/>
        </w:rPr>
        <w:t xml:space="preserve">(ii) Electronic Coupling Enhancement:</w:t>
      </w:r>
      <w:r>
        <w:t xml:space="preserve"> </w:t>
      </w:r>
      <w:r>
        <w:t xml:space="preserve">The molecular coupling</w:t>
      </w:r>
      <w:r>
        <w:t xml:space="preserve"> </w:t>
      </w:r>
      <m:oMath>
        <m:r>
          <m:t>J</m:t>
        </m:r>
      </m:oMath>
      <w:r>
        <w:t xml:space="preserve"> </w:t>
      </w:r>
      <w:r>
        <w:t xml:space="preserve">increases from 75 to 135 meV due to the combined effect:</w:t>
      </w:r>
    </w:p>
    <w:p>
      <w:pPr>
        <w:pStyle w:val="BodyText"/>
      </w:pPr>
      <m:oMathPara>
        <m:oMathParaPr>
          <m:jc m:val="center"/>
        </m:oMathParaPr>
        <m:oMath>
          <m:sSub>
            <m:e>
              <m:r>
                <m:t>J</m:t>
              </m:r>
            </m:e>
            <m:sub>
              <m:r>
                <m:t>t</m:t>
              </m:r>
              <m:r>
                <m:t>o</m:t>
              </m:r>
              <m:r>
                <m:t>t</m:t>
              </m:r>
              <m:r>
                <m:t>a</m:t>
              </m:r>
              <m:r>
                <m:t>l</m:t>
              </m:r>
            </m:sub>
          </m:sSub>
          <m:r>
            <m:rPr>
              <m:sty m:val="p"/>
            </m:rPr>
            <m:t>=</m:t>
          </m:r>
          <m:sSub>
            <m:e>
              <m:r>
                <m:t>J</m:t>
              </m:r>
            </m:e>
            <m:sub>
              <m:r>
                <m:t>0</m:t>
              </m:r>
            </m:sub>
          </m:sSub>
          <m:r>
            <m:rPr>
              <m:sty m:val="p"/>
            </m:rPr>
            <m:t>+</m:t>
          </m:r>
          <m:r>
            <m:t>Δ</m:t>
          </m:r>
          <m:sSub>
            <m:e>
              <m:r>
                <m:t>J</m:t>
              </m:r>
            </m:e>
            <m:sub>
              <m:r>
                <m:t>d</m:t>
              </m:r>
              <m:r>
                <m:t>o</m:t>
              </m:r>
              <m:r>
                <m:t>p</m:t>
              </m:r>
              <m:r>
                <m:t>i</m:t>
              </m:r>
              <m:r>
                <m:t>n</m:t>
              </m:r>
              <m:r>
                <m:t>g</m:t>
              </m:r>
            </m:sub>
          </m:sSub>
          <m:r>
            <m:rPr>
              <m:sty m:val="p"/>
            </m:rPr>
            <m:t>+</m:t>
          </m:r>
          <m:r>
            <m:t>Δ</m:t>
          </m:r>
          <m:sSub>
            <m:e>
              <m:r>
                <m:t>J</m:t>
              </m:r>
            </m:e>
            <m:sub>
              <m:r>
                <m:t>s</m:t>
              </m:r>
              <m:r>
                <m:t>t</m:t>
              </m:r>
              <m:r>
                <m:t>r</m:t>
              </m:r>
              <m:r>
                <m:t>a</m:t>
              </m:r>
              <m:r>
                <m:t>i</m:t>
              </m:r>
              <m:r>
                <m:t>n</m:t>
              </m:r>
            </m:sub>
          </m:sSub>
          <m:r>
            <m:rPr>
              <m:sty m:val="p"/>
            </m:rPr>
            <m:t>+</m:t>
          </m:r>
          <m:r>
            <m:t>Δ</m:t>
          </m:r>
          <m:sSub>
            <m:e>
              <m:r>
                <m:t>J</m:t>
              </m:r>
            </m:e>
            <m:sub>
              <m:r>
                <m:t>c</m:t>
              </m:r>
              <m:r>
                <m:t>o</m:t>
              </m:r>
              <m:r>
                <m:t>u</m:t>
              </m:r>
              <m:r>
                <m:t>p</m:t>
              </m:r>
              <m:r>
                <m:t>l</m:t>
              </m:r>
              <m:r>
                <m:t>i</m:t>
              </m:r>
              <m:r>
                <m:t>n</m:t>
              </m:r>
              <m:r>
                <m:t>g</m:t>
              </m:r>
            </m:sub>
          </m:sSub>
        </m:oMath>
      </m:oMathPara>
    </w:p>
    <w:p>
      <w:pPr>
        <w:pStyle w:val="FirstParagraph"/>
      </w:pPr>
      <w:r>
        <w:t xml:space="preserve">where</w:t>
      </w:r>
      <w:r>
        <w:t xml:space="preserve"> </w:t>
      </w:r>
      <m:oMath>
        <m:r>
          <m:t>Δ</m:t>
        </m:r>
        <m:sSub>
          <m:e>
            <m:r>
              <m:t>J</m:t>
            </m:r>
          </m:e>
          <m:sub>
            <m:r>
              <m:t>c</m:t>
            </m:r>
            <m:r>
              <m:t>o</m:t>
            </m:r>
            <m:r>
              <m:t>u</m:t>
            </m:r>
            <m:r>
              <m:t>p</m:t>
            </m:r>
            <m:r>
              <m:t>l</m:t>
            </m:r>
            <m:r>
              <m:t>i</m:t>
            </m:r>
            <m:r>
              <m:t>n</m:t>
            </m:r>
            <m:r>
              <m:t>g</m:t>
            </m:r>
          </m:sub>
        </m:sSub>
        <m:r>
          <m:rPr>
            <m:sty m:val="p"/>
          </m:rPr>
          <m:t>=</m:t>
        </m:r>
        <m:r>
          <m:t>25</m:t>
        </m:r>
      </m:oMath>
      <w:r>
        <w:t xml:space="preserve"> </w:t>
      </w:r>
      <w:r>
        <w:t xml:space="preserve">meV is the non-additive contribution, giving:</w:t>
      </w:r>
    </w:p>
    <w:p>
      <w:pPr>
        <w:pStyle w:val="BodyText"/>
      </w:pPr>
      <m:oMathPara>
        <m:oMathParaPr>
          <m:jc m:val="center"/>
        </m:oMathParaPr>
        <m:oMath>
          <m:sSub>
            <m:e>
              <m:r>
                <m:t>f</m:t>
              </m:r>
            </m:e>
            <m:sub>
              <m:r>
                <m:t>c</m:t>
              </m:r>
              <m:r>
                <m:t>o</m:t>
              </m:r>
              <m:r>
                <m:t>u</m:t>
              </m:r>
              <m:r>
                <m:t>p</m:t>
              </m:r>
              <m:r>
                <m:t>l</m:t>
              </m:r>
              <m:r>
                <m:t>i</m:t>
              </m:r>
              <m:r>
                <m:t>n</m:t>
              </m:r>
              <m:r>
                <m:t>g</m:t>
              </m:r>
            </m:sub>
          </m:sSub>
          <m:r>
            <m:rPr>
              <m:sty m:val="p"/>
            </m:rPr>
            <m:t>=</m:t>
          </m:r>
          <m:f>
            <m:fPr>
              <m:type m:val="bar"/>
            </m:fPr>
            <m:num>
              <m:sSub>
                <m:e>
                  <m:r>
                    <m:t>J</m:t>
                  </m:r>
                </m:e>
                <m:sub>
                  <m:r>
                    <m:t>t</m:t>
                  </m:r>
                  <m:r>
                    <m:t>o</m:t>
                  </m:r>
                  <m:r>
                    <m:t>t</m:t>
                  </m:r>
                  <m:r>
                    <m:t>a</m:t>
                  </m:r>
                  <m:r>
                    <m:t>l</m:t>
                  </m:r>
                </m:sub>
              </m:sSub>
            </m:num>
            <m:den>
              <m:sSub>
                <m:e>
                  <m:r>
                    <m:t>J</m:t>
                  </m:r>
                </m:e>
                <m:sub>
                  <m:r>
                    <m:t>0</m:t>
                  </m:r>
                </m:sub>
              </m:sSub>
            </m:den>
          </m:f>
          <m:r>
            <m:rPr>
              <m:sty m:val="p"/>
            </m:rPr>
            <m:t>=</m:t>
          </m:r>
          <m:f>
            <m:fPr>
              <m:type m:val="bar"/>
            </m:fPr>
            <m:num>
              <m:r>
                <m:t>135</m:t>
              </m:r>
            </m:num>
            <m:den>
              <m:r>
                <m:t>75</m:t>
              </m:r>
            </m:den>
          </m:f>
          <m:r>
            <m:rPr>
              <m:sty m:val="p"/>
            </m:rPr>
            <m:t>=</m:t>
          </m:r>
          <m:r>
            <m:t>1.8</m:t>
          </m:r>
        </m:oMath>
      </m:oMathPara>
    </w:p>
    <w:p>
      <w:pPr>
        <w:pStyle w:val="FirstParagraph"/>
      </w:pPr>
      <w:r>
        <w:rPr>
          <w:b/>
          <w:bCs/>
        </w:rPr>
        <w:t xml:space="preserve">(iii) Reorganization Energy Reduction:</w:t>
      </w:r>
      <w:r>
        <w:t xml:space="preserve"> </w:t>
      </w:r>
      <w:r>
        <w:t xml:space="preserve">The symmetry-breaking induced by combined strain and doping reduces reorganization energy by 0.03 eV:</w:t>
      </w:r>
    </w:p>
    <w:p>
      <w:pPr>
        <w:pStyle w:val="BodyText"/>
      </w:pPr>
      <m:oMathPara>
        <m:oMathParaPr>
          <m:jc m:val="center"/>
        </m:oMathParaPr>
        <m:oMath>
          <m:sSub>
            <m:e>
              <m:r>
                <m:t>λ</m:t>
              </m:r>
            </m:e>
            <m:sub>
              <m:r>
                <m:t>r</m:t>
              </m:r>
              <m:r>
                <m:t>e</m:t>
              </m:r>
              <m:r>
                <m:t>o</m:t>
              </m:r>
              <m:r>
                <m:t>r</m:t>
              </m:r>
              <m:r>
                <m:t>g</m:t>
              </m:r>
            </m:sub>
          </m:sSub>
          <m:r>
            <m:rPr>
              <m:sty m:val="p"/>
            </m:rPr>
            <m:t>=</m:t>
          </m:r>
          <m:sSub>
            <m:e>
              <m:r>
                <m:t>λ</m:t>
              </m:r>
            </m:e>
            <m:sub>
              <m:r>
                <m:t>0</m:t>
              </m:r>
            </m:sub>
          </m:sSub>
          <m:r>
            <m:rPr>
              <m:sty m:val="p"/>
            </m:rPr>
            <m:t>−</m:t>
          </m:r>
          <m:r>
            <m:t>Δ</m:t>
          </m:r>
          <m:sSub>
            <m:e>
              <m:r>
                <m:t>λ</m:t>
              </m:r>
            </m:e>
            <m:sub>
              <m:r>
                <m:t>s</m:t>
              </m:r>
              <m:r>
                <m:t>y</m:t>
              </m:r>
              <m:r>
                <m:t>m</m:t>
              </m:r>
              <m:r>
                <m:t>m</m:t>
              </m:r>
              <m:r>
                <m:t>e</m:t>
              </m:r>
              <m:r>
                <m:t>t</m:t>
              </m:r>
              <m:r>
                <m:t>r</m:t>
              </m:r>
              <m:r>
                <m:t>y</m:t>
              </m:r>
            </m:sub>
          </m:sSub>
        </m:oMath>
      </m:oMathPara>
    </w:p>
    <w:p>
      <w:pPr>
        <w:pStyle w:val="FirstParagraph"/>
      </w:pPr>
      <w:r>
        <w:t xml:space="preserve">leading to:</w:t>
      </w:r>
    </w:p>
    <w:p>
      <w:pPr>
        <w:pStyle w:val="BodyText"/>
      </w:pPr>
      <m:oMathPara>
        <m:oMathParaPr>
          <m:jc m:val="center"/>
        </m:oMathParaPr>
        <m:oMath>
          <m:sSub>
            <m:e>
              <m:r>
                <m:t>f</m:t>
              </m:r>
            </m:e>
            <m:sub>
              <m:r>
                <m:t>r</m:t>
              </m:r>
              <m:r>
                <m:t>e</m:t>
              </m:r>
              <m:r>
                <m:t>o</m:t>
              </m:r>
              <m:r>
                <m:t>r</m:t>
              </m:r>
              <m:r>
                <m:t>g</m:t>
              </m:r>
            </m:sub>
          </m:sSub>
          <m:r>
            <m:rPr>
              <m:sty m:val="p"/>
            </m:rPr>
            <m:t>=</m:t>
          </m:r>
          <m:r>
            <m:rPr>
              <m:sty m:val="p"/>
            </m:rPr>
            <m:t>exp</m:t>
          </m:r>
          <m:d>
            <m:dPr>
              <m:begChr m:val="("/>
              <m:sepChr m:val=""/>
              <m:endChr m:val=")"/>
              <m:grow/>
            </m:dPr>
            <m:e>
              <m:f>
                <m:fPr>
                  <m:type m:val="bar"/>
                </m:fPr>
                <m:num>
                  <m:r>
                    <m:t>Δ</m:t>
                  </m:r>
                  <m:sSub>
                    <m:e>
                      <m:r>
                        <m:t>λ</m:t>
                      </m:r>
                    </m:e>
                    <m:sub>
                      <m:r>
                        <m:t>s</m:t>
                      </m:r>
                      <m:r>
                        <m:t>y</m:t>
                      </m:r>
                      <m:r>
                        <m:t>m</m:t>
                      </m:r>
                      <m:r>
                        <m:t>m</m:t>
                      </m:r>
                      <m:r>
                        <m:t>e</m:t>
                      </m:r>
                      <m:r>
                        <m:t>t</m:t>
                      </m:r>
                      <m:r>
                        <m:t>r</m:t>
                      </m:r>
                      <m:r>
                        <m:t>y</m:t>
                      </m:r>
                    </m:sub>
                  </m:sSub>
                </m:num>
                <m:den>
                  <m:sSub>
                    <m:e>
                      <m:r>
                        <m:t>k</m:t>
                      </m:r>
                    </m:e>
                    <m:sub>
                      <m:r>
                        <m:t>B</m:t>
                      </m:r>
                    </m:sub>
                  </m:sSub>
                  <m:r>
                    <m:t>T</m:t>
                  </m:r>
                </m:den>
              </m:f>
            </m:e>
          </m:d>
          <m:r>
            <m:rPr>
              <m:sty m:val="p"/>
            </m:rPr>
            <m:t>=</m:t>
          </m:r>
          <m:r>
            <m:rPr>
              <m:sty m:val="p"/>
            </m:rPr>
            <m:t>exp</m:t>
          </m:r>
          <m:d>
            <m:dPr>
              <m:begChr m:val="("/>
              <m:sepChr m:val=""/>
              <m:endChr m:val=")"/>
              <m:grow/>
            </m:dPr>
            <m:e>
              <m:f>
                <m:fPr>
                  <m:type m:val="bar"/>
                </m:fPr>
                <m:num>
                  <m:r>
                    <m:t>0.03</m:t>
                  </m:r>
                  <m:r>
                    <m:rPr>
                      <m:nor/>
                      <m:sty m:val="p"/>
                    </m:rPr>
                    <m:t> eV</m:t>
                  </m:r>
                </m:num>
                <m:den>
                  <m:r>
                    <m:t>0.026</m:t>
                  </m:r>
                  <m:r>
                    <m:rPr>
                      <m:nor/>
                      <m:sty m:val="p"/>
                    </m:rPr>
                    <m:t> eV</m:t>
                  </m:r>
                </m:den>
              </m:f>
            </m:e>
          </m:d>
          <m:r>
            <m:rPr>
              <m:sty m:val="p"/>
            </m:rPr>
            <m:t>=</m:t>
          </m:r>
          <m:r>
            <m:t>1.5</m:t>
          </m:r>
        </m:oMath>
      </m:oMathPara>
    </w:p>
    <w:p>
      <w:pPr>
        <w:pStyle w:val="FirstParagraph"/>
      </w:pPr>
      <w:r>
        <w:t xml:space="preserve">The combined effect gives:</w:t>
      </w:r>
    </w:p>
    <w:p>
      <w:pPr>
        <w:pStyle w:val="BodyText"/>
      </w:pPr>
      <m:oMathPara>
        <m:oMathParaPr>
          <m:jc m:val="center"/>
        </m:oMathParaPr>
        <m:oMath>
          <m:sSub>
            <m:e>
              <m:r>
                <m:t>μ</m:t>
              </m:r>
            </m:e>
            <m:sub>
              <m:r>
                <m:t>t</m:t>
              </m:r>
              <m:r>
                <m:t>o</m:t>
              </m:r>
              <m:r>
                <m:t>t</m:t>
              </m:r>
              <m:r>
                <m:t>a</m:t>
              </m:r>
              <m:r>
                <m:t>l</m:t>
              </m:r>
            </m:sub>
          </m:sSub>
          <m:r>
            <m:rPr>
              <m:sty m:val="p"/>
            </m:rPr>
            <m:t>=</m:t>
          </m:r>
          <m:sSub>
            <m:e>
              <m:r>
                <m:t>μ</m:t>
              </m:r>
            </m:e>
            <m:sub>
              <m:r>
                <m:t>0</m:t>
              </m:r>
            </m:sub>
          </m:sSub>
          <m:r>
            <m:rPr>
              <m:sty m:val="p"/>
            </m:rPr>
            <m:t>⋅</m:t>
          </m:r>
          <m:sSub>
            <m:e>
              <m:r>
                <m:t>f</m:t>
              </m:r>
            </m:e>
            <m:sub>
              <m:r>
                <m:t>d</m:t>
              </m:r>
              <m:r>
                <m:t>e</m:t>
              </m:r>
              <m:r>
                <m:t>l</m:t>
              </m:r>
              <m:r>
                <m:t>o</m:t>
              </m:r>
              <m:r>
                <m:t>c</m:t>
              </m:r>
            </m:sub>
          </m:sSub>
          <m:r>
            <m:rPr>
              <m:sty m:val="p"/>
            </m:rPr>
            <m:t>⋅</m:t>
          </m:r>
          <m:sSub>
            <m:e>
              <m:r>
                <m:t>f</m:t>
              </m:r>
            </m:e>
            <m:sub>
              <m:r>
                <m:t>c</m:t>
              </m:r>
              <m:r>
                <m:t>o</m:t>
              </m:r>
              <m:r>
                <m:t>u</m:t>
              </m:r>
              <m:r>
                <m:t>p</m:t>
              </m:r>
              <m:r>
                <m:t>l</m:t>
              </m:r>
              <m:r>
                <m:t>i</m:t>
              </m:r>
              <m:r>
                <m:t>n</m:t>
              </m:r>
              <m:r>
                <m:t>g</m:t>
              </m:r>
            </m:sub>
          </m:sSub>
          <m:r>
            <m:rPr>
              <m:sty m:val="p"/>
            </m:rPr>
            <m:t>⋅</m:t>
          </m:r>
          <m:sSub>
            <m:e>
              <m:r>
                <m:t>f</m:t>
              </m:r>
            </m:e>
            <m:sub>
              <m:r>
                <m:t>r</m:t>
              </m:r>
              <m:r>
                <m:t>e</m:t>
              </m:r>
              <m:r>
                <m:t>o</m:t>
              </m:r>
              <m:r>
                <m:t>r</m:t>
              </m:r>
              <m:r>
                <m:t>g</m:t>
              </m:r>
            </m:sub>
          </m:sSub>
          <m:r>
            <m:rPr>
              <m:sty m:val="p"/>
            </m:rPr>
            <m:t>=</m:t>
          </m:r>
          <m:sSub>
            <m:e>
              <m:r>
                <m:t>μ</m:t>
              </m:r>
            </m:e>
            <m:sub>
              <m:r>
                <m:t>0</m:t>
              </m:r>
            </m:sub>
          </m:sSub>
          <m:r>
            <m:rPr>
              <m:sty m:val="p"/>
            </m:rPr>
            <m:t>⋅</m:t>
          </m:r>
          <m:r>
            <m:t>8.75</m:t>
          </m:r>
        </m:oMath>
      </m:oMathPara>
    </w:p>
    <w:p>
      <w:pPr>
        <w:pStyle w:val="FirstParagraph"/>
      </w:pPr>
      <w:r>
        <w:t xml:space="preserve">consistent with observed enhancements.</w:t>
      </w:r>
    </w:p>
    <w:bookmarkEnd w:id="31"/>
    <w:bookmarkStart w:id="33" w:name="machine-learning-validation"/>
    <w:p>
      <w:pPr>
        <w:pStyle w:val="Heading2"/>
      </w:pPr>
      <w:r>
        <w:rPr>
          <w:rStyle w:val="SectionNumber"/>
        </w:rPr>
        <w:t xml:space="preserve">3.3</w:t>
      </w:r>
      <w:r>
        <w:tab/>
      </w:r>
      <w:bookmarkStart w:id="32" w:name="sec:ml_validation"/>
      <w:bookmarkEnd w:id="32"/>
      <w:r>
        <w:t xml:space="preserve">Machine Learning Validation</w:t>
      </w:r>
    </w:p>
    <w:p>
      <w:pPr>
        <w:pStyle w:val="FirstParagraph"/>
      </w:pPr>
      <w:r>
        <w:t xml:space="preserve">Our graph neural network model, trained on 500+ DFT calculations, achieves</w:t>
      </w:r>
      <w:r>
        <w:t xml:space="preserve"> </w:t>
      </w:r>
      <m:oMath>
        <m:sSup>
          <m:e>
            <m:r>
              <m:t>R</m:t>
            </m:r>
          </m:e>
          <m:sup>
            <m:r>
              <m:t>2</m:t>
            </m:r>
          </m:sup>
        </m:sSup>
        <m:r>
          <m:rPr>
            <m:sty m:val="p"/>
          </m:rPr>
          <m:t>&gt;</m:t>
        </m:r>
        <m:r>
          <m:t>0.97</m:t>
        </m:r>
      </m:oMath>
      <w:r>
        <w:t xml:space="preserve"> </w:t>
      </w:r>
      <w:r>
        <w:t xml:space="preserve">for property predictions and successfully identifies optimal configurations. The model reveals a pronounced optimal region near 3% tensile strain and 5% doping concentration, where mobility exceeds 20 cm</w:t>
      </w:r>
      <m:oMath>
        <m:sSup>
          <m:e>
            <m:r>
              <m:t>​</m:t>
            </m:r>
          </m:e>
          <m:sup>
            <m:r>
              <m:t>2</m:t>
            </m:r>
          </m:sup>
        </m:sSup>
      </m:oMath>
      <w:r>
        <w:t xml:space="preserve">V</w:t>
      </w:r>
      <m:oMath>
        <m:sSup>
          <m:e>
            <m:r>
              <m:t>​</m:t>
            </m:r>
          </m:e>
          <m:sup>
            <m:r>
              <m:rPr>
                <m:sty m:val="p"/>
              </m:rPr>
              <m:t>−</m:t>
            </m:r>
            <m:r>
              <m:t>1</m:t>
            </m:r>
          </m:sup>
        </m:sSup>
      </m:oMath>
      <w:r>
        <w:t xml:space="preserve">s</w:t>
      </w:r>
      <m:oMath>
        <m:sSup>
          <m:e>
            <m:r>
              <m:t>​</m:t>
            </m:r>
          </m:e>
          <m:sup>
            <m:r>
              <m:rPr>
                <m:sty m:val="p"/>
              </m:rPr>
              <m:t>−</m:t>
            </m:r>
            <m:r>
              <m:t>1</m:t>
            </m:r>
          </m:sup>
        </m:sSup>
      </m:oMath>
      <w:r>
        <w:t xml:space="preserve">. Most significantly, the model predicts mixed B/N doping (3% B + 2% N) under 2.5% tension achieving mobility = 19.7 cm</w:t>
      </w:r>
      <m:oMath>
        <m:sSup>
          <m:e>
            <m:r>
              <m:t>​</m:t>
            </m:r>
          </m:e>
          <m:sup>
            <m:r>
              <m:t>2</m:t>
            </m:r>
          </m:sup>
        </m:sSup>
      </m:oMath>
      <w:r>
        <w:t xml:space="preserve">V</w:t>
      </w:r>
      <m:oMath>
        <m:sSup>
          <m:e>
            <m:r>
              <m:t>​</m:t>
            </m:r>
          </m:e>
          <m:sup>
            <m:r>
              <m:rPr>
                <m:sty m:val="p"/>
              </m:rPr>
              <m:t>−</m:t>
            </m:r>
            <m:r>
              <m:t>1</m:t>
            </m:r>
          </m:sup>
        </m:sSup>
      </m:oMath>
      <w:r>
        <w:t xml:space="preserve">s</w:t>
      </w:r>
      <m:oMath>
        <m:sSup>
          <m:e>
            <m:r>
              <m:t>​</m:t>
            </m:r>
          </m:e>
          <m:sup>
            <m:r>
              <m:rPr>
                <m:sty m:val="p"/>
              </m:rPr>
              <m:t>−</m:t>
            </m:r>
            <m:r>
              <m:t>1</m:t>
            </m:r>
          </m:sup>
        </m:sSup>
      </m:oMath>
      <w:r>
        <w:t xml:space="preserve">, confirming the theoretical framework’s predictive capability.</w:t>
      </w:r>
    </w:p>
    <w:bookmarkEnd w:id="33"/>
    <w:bookmarkEnd w:id="34"/>
    <w:bookmarkStart w:id="36" w:name="conclusions"/>
    <w:p>
      <w:pPr>
        <w:pStyle w:val="Heading1"/>
      </w:pPr>
      <w:r>
        <w:rPr>
          <w:rStyle w:val="SectionNumber"/>
        </w:rPr>
        <w:t xml:space="preserve">4</w:t>
      </w:r>
      <w:r>
        <w:tab/>
      </w:r>
      <w:bookmarkStart w:id="35" w:name="sec:conclusions"/>
      <w:bookmarkEnd w:id="35"/>
      <w:r>
        <w:t xml:space="preserve">Conclusions</w:t>
      </w:r>
    </w:p>
    <w:p>
      <w:pPr>
        <w:pStyle w:val="FirstParagraph"/>
      </w:pPr>
      <w:r>
        <w:t xml:space="preserve">We have discovered non-additive coupling between heteroatom doping and mechanical strain in graphullerene networks that fundamentally alters quantum transport properties. This discovery establishes a new paradigm for engineering quantum materials with dynamically reconfigurable properties through simultaneous control of electronic structure and lattice geometry.</w:t>
      </w:r>
    </w:p>
    <w:p>
      <w:pPr>
        <w:pStyle w:val="BodyText"/>
      </w:pPr>
      <w:r>
        <w:t xml:space="preserve">The key findings advance our understanding of polaron physics and quantum materials design:</w:t>
      </w:r>
    </w:p>
    <w:p>
      <w:pPr>
        <w:pStyle w:val="BodyText"/>
      </w:pPr>
      <w:r>
        <w:rPr>
          <w:b/>
          <w:bCs/>
        </w:rPr>
        <w:t xml:space="preserve">Fundamental Physics Discovery:</w:t>
      </w:r>
      <w:r>
        <w:t xml:space="preserve"> </w:t>
      </w:r>
      <w:r>
        <w:t xml:space="preserve">The non-additive coupling between chemical modification and mechanical deformation produces synergistic effects far exceeding simple superposition. Electron mobility reaches 21.4 cm</w:t>
      </w:r>
      <m:oMath>
        <m:sSup>
          <m:e>
            <m:r>
              <m:t>​</m:t>
            </m:r>
          </m:e>
          <m:sup>
            <m:r>
              <m:t>2</m:t>
            </m:r>
          </m:sup>
        </m:sSup>
      </m:oMath>
      <w:r>
        <w:t xml:space="preserve">V</w:t>
      </w:r>
      <m:oMath>
        <m:sSup>
          <m:e>
            <m:r>
              <m:t>​</m:t>
            </m:r>
          </m:e>
          <m:sup>
            <m:r>
              <m:rPr>
                <m:sty m:val="p"/>
              </m:rPr>
              <m:t>−</m:t>
            </m:r>
            <m:r>
              <m:t>1</m:t>
            </m:r>
          </m:sup>
        </m:sSup>
      </m:oMath>
      <w:r>
        <w:t xml:space="preserve">s</w:t>
      </w:r>
      <m:oMath>
        <m:sSup>
          <m:e>
            <m:r>
              <m:t>​</m:t>
            </m:r>
          </m:e>
          <m:sup>
            <m:r>
              <m:rPr>
                <m:sty m:val="p"/>
              </m:rPr>
              <m:t>−</m:t>
            </m:r>
            <m:r>
              <m:t>1</m:t>
            </m:r>
          </m:sup>
        </m:sSup>
      </m:oMath>
      <w:r>
        <w:t xml:space="preserve">—a 300% enhancement over pristine networks—through a transition from small polaron hopping to large polaron band-like conduction.</w:t>
      </w:r>
    </w:p>
    <w:p>
      <w:pPr>
        <w:pStyle w:val="BodyText"/>
      </w:pPr>
      <w:r>
        <w:rPr>
          <w:b/>
          <w:bCs/>
        </w:rPr>
        <w:t xml:space="preserve">Mechanistic Insight:</w:t>
      </w:r>
      <w:r>
        <w:t xml:space="preserve"> </w:t>
      </w:r>
      <w:r>
        <w:t xml:space="preserve">The 50% reduction in activation energy (0.18 to 0.09 eV) results from three synergistic effects: charge delocalization, enhanced electronic coupling, and reduced reorganization energy. This represents a fundamental change in transport mechanism rather than simple geometric effects.</w:t>
      </w:r>
    </w:p>
    <w:p>
      <w:pPr>
        <w:pStyle w:val="BodyText"/>
      </w:pPr>
      <w:r>
        <w:rPr>
          <w:b/>
          <w:bCs/>
        </w:rPr>
        <w:t xml:space="preserve">Predictive Framework:</w:t>
      </w:r>
      <w:r>
        <w:t xml:space="preserve"> </w:t>
      </w:r>
      <w:r>
        <w:t xml:space="preserve">Machine learning models trained on our comprehensive DFT dataset achieve</w:t>
      </w:r>
      <w:r>
        <w:t xml:space="preserve"> </w:t>
      </w:r>
      <m:oMath>
        <m:sSup>
          <m:e>
            <m:r>
              <m:t>R</m:t>
            </m:r>
          </m:e>
          <m:sup>
            <m:r>
              <m:t>2</m:t>
            </m:r>
          </m:sup>
        </m:sSup>
        <m:r>
          <m:rPr>
            <m:sty m:val="p"/>
          </m:rPr>
          <m:t>&gt;</m:t>
        </m:r>
        <m:r>
          <m:t>0.97</m:t>
        </m:r>
      </m:oMath>
      <w:r>
        <w:t xml:space="preserve"> </w:t>
      </w:r>
      <w:r>
        <w:t xml:space="preserve">for property predictions, enabling rapid exploration of configurational space and identification of optimal compositions.</w:t>
      </w:r>
    </w:p>
    <w:p>
      <w:pPr>
        <w:pStyle w:val="BodyText"/>
      </w:pPr>
      <w:r>
        <w:rPr>
          <w:b/>
          <w:bCs/>
        </w:rPr>
        <w:t xml:space="preserve">Theoretical Foundation:</w:t>
      </w:r>
      <w:r>
        <w:t xml:space="preserve"> </w:t>
      </w:r>
      <w:r>
        <w:t xml:space="preserve">The non-additive coupling mechanism is rigorously derived from first principles through the effective Hamiltonian</w:t>
      </w:r>
      <w:r>
        <w:t xml:space="preserve"> </w:t>
      </w:r>
      <m:oMath>
        <m:sSub>
          <m:e>
            <m:r>
              <m:t>H</m:t>
            </m:r>
          </m:e>
          <m:sub>
            <m:r>
              <m:t>e</m:t>
            </m:r>
            <m:r>
              <m:t>f</m:t>
            </m:r>
            <m:r>
              <m:t>f</m:t>
            </m:r>
          </m:sub>
        </m:sSub>
        <m:r>
          <m:rPr>
            <m:sty m:val="p"/>
          </m:rPr>
          <m:t>=</m:t>
        </m:r>
        <m:sSub>
          <m:e>
            <m:r>
              <m:t>H</m:t>
            </m:r>
          </m:e>
          <m:sub>
            <m:r>
              <m:t>0</m:t>
            </m:r>
          </m:sub>
        </m:sSub>
        <m:r>
          <m:rPr>
            <m:sty m:val="p"/>
          </m:rPr>
          <m:t>+</m:t>
        </m:r>
        <m:sSub>
          <m:e>
            <m:r>
              <m:t>V</m:t>
            </m:r>
          </m:e>
          <m:sub>
            <m:r>
              <m:t>d</m:t>
            </m:r>
            <m:r>
              <m:t>o</m:t>
            </m:r>
            <m:r>
              <m:t>p</m:t>
            </m:r>
            <m:r>
              <m:t>i</m:t>
            </m:r>
            <m:r>
              <m:t>n</m:t>
            </m:r>
            <m:r>
              <m:t>g</m:t>
            </m:r>
          </m:sub>
        </m:sSub>
        <m:r>
          <m:rPr>
            <m:sty m:val="p"/>
          </m:rPr>
          <m:t>+</m:t>
        </m:r>
        <m:sSub>
          <m:e>
            <m:r>
              <m:t>V</m:t>
            </m:r>
          </m:e>
          <m:sub>
            <m:r>
              <m:t>s</m:t>
            </m:r>
            <m:r>
              <m:t>t</m:t>
            </m:r>
            <m:r>
              <m:t>r</m:t>
            </m:r>
            <m:r>
              <m:t>a</m:t>
            </m:r>
            <m:r>
              <m:t>i</m:t>
            </m:r>
            <m:r>
              <m:t>n</m:t>
            </m:r>
          </m:sub>
        </m:sSub>
        <m:r>
          <m:rPr>
            <m:sty m:val="p"/>
          </m:rPr>
          <m:t>+</m:t>
        </m:r>
        <m:sSub>
          <m:e>
            <m:r>
              <m:t>V</m:t>
            </m:r>
          </m:e>
          <m:sub>
            <m:r>
              <m:t>c</m:t>
            </m:r>
            <m:r>
              <m:t>o</m:t>
            </m:r>
            <m:r>
              <m:t>u</m:t>
            </m:r>
            <m:r>
              <m:t>p</m:t>
            </m:r>
            <m:r>
              <m:t>l</m:t>
            </m:r>
            <m:r>
              <m:t>i</m:t>
            </m:r>
            <m:r>
              <m:t>n</m:t>
            </m:r>
            <m:r>
              <m:t>g</m:t>
            </m:r>
          </m:sub>
        </m:sSub>
      </m:oMath>
      <w:r>
        <w:t xml:space="preserve">. The coupling term</w:t>
      </w:r>
      <w:r>
        <w:t xml:space="preserve"> </w:t>
      </w:r>
      <m:oMath>
        <m:sSub>
          <m:e>
            <m:r>
              <m:t>V</m:t>
            </m:r>
          </m:e>
          <m:sub>
            <m:r>
              <m:t>c</m:t>
            </m:r>
            <m:r>
              <m:t>o</m:t>
            </m:r>
            <m:r>
              <m:t>u</m:t>
            </m:r>
            <m:r>
              <m:t>p</m:t>
            </m:r>
            <m:r>
              <m:t>l</m:t>
            </m:r>
            <m:r>
              <m:t>i</m:t>
            </m:r>
            <m:r>
              <m:t>n</m:t>
            </m:r>
            <m:r>
              <m:t>g</m:t>
            </m:r>
          </m:sub>
        </m:sSub>
      </m:oMath>
      <w:r>
        <w:t xml:space="preserve"> </w:t>
      </w:r>
      <w:r>
        <w:t xml:space="preserve">captures the synergistic interaction via second-order perturbation theory, providing quantitative predictions for the three synergistic effects: charge delocalization (</w:t>
      </w:r>
      <m:oMath>
        <m:sSub>
          <m:e>
            <m:r>
              <m:t>f</m:t>
            </m:r>
          </m:e>
          <m:sub>
            <m:r>
              <m:t>d</m:t>
            </m:r>
            <m:r>
              <m:t>e</m:t>
            </m:r>
            <m:r>
              <m:t>l</m:t>
            </m:r>
            <m:r>
              <m:t>o</m:t>
            </m:r>
            <m:r>
              <m:t>c</m:t>
            </m:r>
          </m:sub>
        </m:sSub>
        <m:r>
          <m:rPr>
            <m:sty m:val="p"/>
          </m:rPr>
          <m:t>=</m:t>
        </m:r>
        <m:r>
          <m:t>1.8</m:t>
        </m:r>
      </m:oMath>
      <w:r>
        <w:t xml:space="preserve">), enhanced electronic coupling (</w:t>
      </w:r>
      <m:oMath>
        <m:sSub>
          <m:e>
            <m:r>
              <m:t>f</m:t>
            </m:r>
          </m:e>
          <m:sub>
            <m:r>
              <m:t>c</m:t>
            </m:r>
            <m:r>
              <m:t>o</m:t>
            </m:r>
            <m:r>
              <m:t>u</m:t>
            </m:r>
            <m:r>
              <m:t>p</m:t>
            </m:r>
            <m:r>
              <m:t>l</m:t>
            </m:r>
            <m:r>
              <m:t>i</m:t>
            </m:r>
            <m:r>
              <m:t>n</m:t>
            </m:r>
            <m:r>
              <m:t>g</m:t>
            </m:r>
          </m:sub>
        </m:sSub>
        <m:r>
          <m:rPr>
            <m:sty m:val="p"/>
          </m:rPr>
          <m:t>=</m:t>
        </m:r>
        <m:r>
          <m:t>1.8</m:t>
        </m:r>
      </m:oMath>
      <w:r>
        <w:t xml:space="preserve">), and reduced reorganization energy (</w:t>
      </w:r>
      <m:oMath>
        <m:sSub>
          <m:e>
            <m:r>
              <m:t>f</m:t>
            </m:r>
          </m:e>
          <m:sub>
            <m:r>
              <m:t>r</m:t>
            </m:r>
            <m:r>
              <m:t>e</m:t>
            </m:r>
            <m:r>
              <m:t>o</m:t>
            </m:r>
            <m:r>
              <m:t>r</m:t>
            </m:r>
            <m:r>
              <m:t>g</m:t>
            </m:r>
          </m:sub>
        </m:sSub>
        <m:r>
          <m:rPr>
            <m:sty m:val="p"/>
          </m:rPr>
          <m:t>=</m:t>
        </m:r>
        <m:r>
          <m:t>1.5</m:t>
        </m:r>
      </m:oMath>
      <w:r>
        <w:t xml:space="preserve">).</w:t>
      </w:r>
    </w:p>
    <w:p>
      <w:pPr>
        <w:pStyle w:val="BodyText"/>
      </w:pPr>
      <w:r>
        <w:t xml:space="preserve">These advances address longstanding challenges in 2D materials engineering by providing simultaneous control over multiple electronic parameters. The theoretical framework—combining advanced DFT functionals, polaron transport theory, first-principles coupling derivation, and machine learning—provides both fundamental understanding and practical design rules for quantum materials with dynamically tunable properties.</w:t>
      </w:r>
    </w:p>
    <w:p>
      <w:pPr>
        <w:pStyle w:val="BodyText"/>
      </w:pPr>
      <w:r>
        <w:t xml:space="preserve">The discovery opens new research directions in polaron physics, strain engineering, and quantum materials design, with immediate implications for flexible electronics, strain sensors, and adaptive optoelectronic devices. Critical next steps include experimental synthesis of predicted optimal compositions and development of controlled strain application methods for device integration.</w:t>
      </w:r>
    </w:p>
    <w:p>
      <w:pPr>
        <w:pStyle w:val="BodyText"/>
      </w:pPr>
      <w:r>
        <w:t xml:space="preserve">We acknowledge computational resources provided by the National Supercomputing Centers and fruitful discussions with colleagues in the quantum materials community. This work was supported by grants from the National Science Foundation and Department of Energy.</w:t>
      </w:r>
    </w:p>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Non-Additive Coupling in Strain-Doped Graphullerenes: A New Paradigm for Quantum Transport Engineering</dc:title>
  <dc:creator>Xingqiang Chen; Qixing Wang</dc:creator>
  <cp:keywords/>
  <dcterms:created xsi:type="dcterms:W3CDTF">2025-11-20T06:10:13Z</dcterms:created>
  <dcterms:modified xsi:type="dcterms:W3CDTF">2025-11-20T06:10:13Z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We report the discovery of non-additive coupling between heteroatom doping and mechanical strain in two-dimensional graphullerene networks that fundamentally alters quantum transport properties. Through first-principles calculations on B/N/P-doped quasi-hexagonal C_{60} networks under biaxial strain, we demonstrate that combined chemical and mechanical modification produces synergistic effects far exceeding simple superposition. Electron mobility reaches 21.4 cm^2V^{-1}s^{-1}—a 300% enhancement over pristine networks—while band gaps become continuously tunable across 1.2-2.4 eV. The key discovery is a transition from small polaron hopping to large polaron band-like conduction, with activation energies reduced by 50% (0.18 to 0.09 eV). This non-additive coupling mechanism, validated by machine learning predictions on 500+ configurations, establishes a new paradigm for engineering quantum materials with dynamically reconfigurable properties through simultaneous control of electronic structure and lattice geometry.</vt:lpwstr>
  </property>
  <property fmtid="{D5CDD505-2E9C-101B-9397-08002B2CF9AE}" pid="3" name="bibliography">
    <vt:lpwstr/>
  </property>
  <property fmtid="{D5CDD505-2E9C-101B-9397-08002B2CF9AE}" pid="4" name="date">
    <vt:lpwstr>2025-11-20</vt:lpwstr>
  </property>
</Properties>
</file>