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07F5" w14:textId="77777777" w:rsidR="00000000" w:rsidRDefault="00000000">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潘建明交通肇事罪一案刑事一审判决书</w:t>
      </w:r>
    </w:p>
    <w:p w14:paraId="0023FAE1" w14:textId="77777777" w:rsidR="00000000" w:rsidRDefault="00000000">
      <w:pPr>
        <w:ind w:left="375" w:right="375"/>
        <w:rPr>
          <w:rFonts w:ascii="Arial" w:eastAsia="Arial" w:hAnsi="Arial" w:cs="Arial"/>
          <w:lang w:val="en-US" w:eastAsia="zh-CN" w:bidi="ar-SA"/>
        </w:rPr>
      </w:pPr>
      <w:r>
        <w:rPr>
          <w:rFonts w:ascii="Arial" w:eastAsia="Arial" w:hAnsi="Arial" w:cs="Arial"/>
          <w:lang w:val="en-US" w:eastAsia="zh-CN" w:bidi="ar-SA"/>
        </w:rPr>
        <w:br/>
      </w:r>
    </w:p>
    <w:p w14:paraId="7F5C380A" w14:textId="77777777" w:rsidR="00000000" w:rsidRDefault="00000000">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潘建明交通肇事罪一案刑事一审判决书</w:t>
      </w:r>
    </w:p>
    <w:p w14:paraId="0FDEE195" w14:textId="77777777" w:rsidR="00000000" w:rsidRDefault="00000000">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广东省肇庆市高要区人民法院</w:t>
      </w:r>
      <w:r>
        <w:rPr>
          <w:rFonts w:ascii="宋体" w:eastAsia="宋体" w:hAnsi="宋体" w:cs="宋体"/>
          <w:color w:val="000000"/>
          <w:sz w:val="27"/>
          <w:szCs w:val="27"/>
          <w:lang w:val="en-US" w:eastAsia="zh-CN" w:bidi="ar-SA"/>
        </w:rPr>
        <w:br/>
        <w:t>刑事判决书</w:t>
      </w:r>
    </w:p>
    <w:p w14:paraId="7480BC0F" w14:textId="77777777" w:rsidR="00000000" w:rsidRDefault="00000000">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(2021)粤1204刑初95号</w:t>
      </w:r>
    </w:p>
    <w:p w14:paraId="09BB8EBA" w14:textId="77777777" w:rsidR="00000000" w:rsidRDefault="00000000">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t xml:space="preserve">　　</w:t>
      </w:r>
      <w:r>
        <w:rPr>
          <w:rStyle w:val="span"/>
          <w:rFonts w:ascii="宋体" w:eastAsia="宋体" w:hAnsi="宋体" w:cs="宋体"/>
          <w:vanish/>
          <w:color w:val="000000"/>
          <w:sz w:val="27"/>
          <w:szCs w:val="27"/>
          <w:lang w:val="en-US" w:eastAsia="zh-CN" w:bidi="ar-SA"/>
        </w:rPr>
        <w:t>公诉机关</w:t>
      </w:r>
      <w:bookmarkStart w:id="0" w:name="anchor-0"/>
      <w:bookmarkEnd w:id="0"/>
      <w:r>
        <w:rPr>
          <w:rFonts w:ascii="宋体" w:eastAsia="宋体" w:hAnsi="宋体" w:cs="宋体"/>
          <w:color w:val="000000"/>
          <w:sz w:val="27"/>
          <w:szCs w:val="27"/>
          <w:lang w:val="en-US" w:eastAsia="zh-CN" w:bidi="ar-SA"/>
        </w:rPr>
        <w:t>公诉机关广东省肇庆市高要区人民检察院。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1" w:name="anchor-2"/>
      <w:bookmarkEnd w:id="1"/>
      <w:r>
        <w:rPr>
          <w:rFonts w:ascii="宋体" w:eastAsia="宋体" w:hAnsi="宋体" w:cs="宋体"/>
          <w:color w:val="000000"/>
          <w:sz w:val="27"/>
          <w:szCs w:val="27"/>
          <w:lang w:val="en-US" w:eastAsia="zh-CN" w:bidi="ar-SA"/>
        </w:rPr>
        <w:t xml:space="preserve">　　被告人潘建明。因涉嫌犯交通肇事罪于2020年6月2日被取保候审。</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2" w:name="anchor-3"/>
      <w:bookmarkEnd w:id="2"/>
      <w:r>
        <w:rPr>
          <w:rFonts w:ascii="宋体" w:eastAsia="宋体" w:hAnsi="宋体" w:cs="宋体"/>
          <w:color w:val="000000"/>
          <w:sz w:val="27"/>
          <w:szCs w:val="27"/>
          <w:lang w:val="en-US" w:eastAsia="zh-CN" w:bidi="ar-SA"/>
        </w:rPr>
        <w:t xml:space="preserve">　　广东省肇庆市高要区人民检察院以肇要检刑诉〔2021〕86号起诉书指控被告人潘建明犯交通肇事罪，于2021年5月21日向本院提起公诉。本院依法适用速裁程序，实行独任审判，公开开庭审理了本案。广东省肇庆市高要区人民检察院指派检察员白鉴华出庭支持公诉，被告人潘建明到庭参加诉讼。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公诉机关、抗诉机关指控</w:t>
      </w:r>
      <w:bookmarkStart w:id="3" w:name="anchor-1"/>
      <w:bookmarkEnd w:id="3"/>
      <w:r>
        <w:rPr>
          <w:rFonts w:ascii="宋体" w:eastAsia="宋体" w:hAnsi="宋体" w:cs="宋体"/>
          <w:color w:val="000000"/>
          <w:sz w:val="27"/>
          <w:szCs w:val="27"/>
          <w:lang w:val="en-US" w:eastAsia="zh-CN" w:bidi="ar-SA"/>
        </w:rPr>
        <w:t xml:space="preserve">　　公诉机关指控，2020年2月20日9时许，被告人潘建明驾驶车号为粤A×××××小型越野客车搭载被害人贾某沿广昆高速公路由东往西方向行驶，期间，被告人潘建明使用定速巡航和车道偏离纠正系统模式驾驶车辆，当行驶至50KM+255M处时，与被害人莫某1驾驶的道路养护作业车辆粤M×××××轻型货车发生碰撞后，向前滑行时碰撞正在作业的被害人陈某明、李某，造成被害人陈某明、李元佳死亡、被害人莫某1、贾蕾杰受伤及两车和路产损坏的交通事故。被告人潘建明案发后报警并在现场等候交警处理。</w:t>
      </w:r>
      <w:r>
        <w:rPr>
          <w:rFonts w:ascii="宋体" w:eastAsia="宋体" w:hAnsi="宋体" w:cs="宋体"/>
          <w:color w:val="000000"/>
          <w:sz w:val="27"/>
          <w:szCs w:val="27"/>
          <w:lang w:val="en-US" w:eastAsia="zh-CN" w:bidi="ar-SA"/>
        </w:rPr>
        <w:br/>
        <w:t xml:space="preserve">　　经公安交警部门根据事故现场勘查和调查取证材料认定，被告人潘建明驾驶车辆在高速公路行驶时使用定速巡航和车道偏离纠正系统模式驾驶车辆，因过于自信车辆辅助驾驶功能从而疏忽大意驾驶车辆，遇事采取措施失当造成车辆失</w:t>
      </w:r>
      <w:r>
        <w:rPr>
          <w:rFonts w:ascii="宋体" w:eastAsia="宋体" w:hAnsi="宋体" w:cs="宋体"/>
          <w:color w:val="000000"/>
          <w:sz w:val="27"/>
          <w:szCs w:val="27"/>
          <w:lang w:val="en-US" w:eastAsia="zh-CN" w:bidi="ar-SA"/>
        </w:rPr>
        <w:lastRenderedPageBreak/>
        <w:t>控，以致事故的发生，其行为违反了《中华人民共和国</w:t>
      </w:r>
      <w:hyperlink r:id="rId6" w:history="1">
        <w:r>
          <w:rPr>
            <w:rStyle w:val="fulltext-wrapfulltexta"/>
            <w:rFonts w:ascii="宋体" w:eastAsia="宋体" w:hAnsi="宋体" w:cs="宋体"/>
            <w:sz w:val="27"/>
            <w:szCs w:val="27"/>
            <w:lang w:val="en-US" w:eastAsia="zh-CN" w:bidi="ar-SA"/>
          </w:rPr>
          <w:t>道路交通安全法</w:t>
        </w:r>
      </w:hyperlink>
      <w:r>
        <w:rPr>
          <w:rFonts w:ascii="宋体" w:eastAsia="宋体" w:hAnsi="宋体" w:cs="宋体"/>
          <w:color w:val="000000"/>
          <w:sz w:val="27"/>
          <w:szCs w:val="27"/>
          <w:lang w:val="en-US" w:eastAsia="zh-CN" w:bidi="ar-SA"/>
        </w:rPr>
        <w:t>》第</w:t>
      </w:r>
      <w:hyperlink r:id="rId7" w:anchor="tiao_22" w:history="1">
        <w:r>
          <w:rPr>
            <w:rStyle w:val="fulltext-wrapfulltexta"/>
            <w:rFonts w:ascii="宋体" w:eastAsia="宋体" w:hAnsi="宋体" w:cs="宋体"/>
            <w:sz w:val="27"/>
            <w:szCs w:val="27"/>
            <w:lang w:val="en-US" w:eastAsia="zh-CN" w:bidi="ar-SA"/>
          </w:rPr>
          <w:t>二十二条</w:t>
        </w:r>
      </w:hyperlink>
      <w:r>
        <w:rPr>
          <w:rFonts w:ascii="宋体" w:eastAsia="宋体" w:hAnsi="宋体" w:cs="宋体"/>
          <w:color w:val="000000"/>
          <w:sz w:val="27"/>
          <w:szCs w:val="27"/>
          <w:lang w:val="en-US" w:eastAsia="zh-CN" w:bidi="ar-SA"/>
        </w:rPr>
        <w:t>第</w:t>
      </w:r>
      <w:hyperlink r:id="rId8" w:anchor="tiao_22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的规定，是导致事故的根本原因及过错；无证据证明被害人陈某明、李元佳、莫某1、贾蕾杰有导致此事故发生的过错行为。根据《中华人民共和国</w:t>
      </w:r>
      <w:hyperlink r:id="rId9" w:history="1">
        <w:r>
          <w:rPr>
            <w:rStyle w:val="fulltext-wrapfulltexta"/>
            <w:rFonts w:ascii="宋体" w:eastAsia="宋体" w:hAnsi="宋体" w:cs="宋体"/>
            <w:sz w:val="27"/>
            <w:szCs w:val="27"/>
            <w:lang w:val="en-US" w:eastAsia="zh-CN" w:bidi="ar-SA"/>
          </w:rPr>
          <w:t>道路交通安全法实施条例</w:t>
        </w:r>
      </w:hyperlink>
      <w:r>
        <w:rPr>
          <w:rFonts w:ascii="宋体" w:eastAsia="宋体" w:hAnsi="宋体" w:cs="宋体"/>
          <w:color w:val="000000"/>
          <w:sz w:val="27"/>
          <w:szCs w:val="27"/>
          <w:lang w:val="en-US" w:eastAsia="zh-CN" w:bidi="ar-SA"/>
        </w:rPr>
        <w:t>》第</w:t>
      </w:r>
      <w:hyperlink r:id="rId10" w:anchor="tiao_91" w:history="1">
        <w:r>
          <w:rPr>
            <w:rStyle w:val="fulltext-wrapfulltexta"/>
            <w:rFonts w:ascii="宋体" w:eastAsia="宋体" w:hAnsi="宋体" w:cs="宋体"/>
            <w:sz w:val="27"/>
            <w:szCs w:val="27"/>
            <w:lang w:val="en-US" w:eastAsia="zh-CN" w:bidi="ar-SA"/>
          </w:rPr>
          <w:t>九十一条</w:t>
        </w:r>
      </w:hyperlink>
      <w:r>
        <w:rPr>
          <w:rFonts w:ascii="宋体" w:eastAsia="宋体" w:hAnsi="宋体" w:cs="宋体"/>
          <w:color w:val="000000"/>
          <w:sz w:val="27"/>
          <w:szCs w:val="27"/>
          <w:lang w:val="en-US" w:eastAsia="zh-CN" w:bidi="ar-SA"/>
        </w:rPr>
        <w:t>及《</w:t>
      </w:r>
      <w:hyperlink r:id="rId11" w:history="1">
        <w:r>
          <w:rPr>
            <w:rStyle w:val="fulltext-wrapfulltexta"/>
            <w:rFonts w:ascii="宋体" w:eastAsia="宋体" w:hAnsi="宋体" w:cs="宋体"/>
            <w:sz w:val="27"/>
            <w:szCs w:val="27"/>
            <w:lang w:val="en-US" w:eastAsia="zh-CN" w:bidi="ar-SA"/>
          </w:rPr>
          <w:t>道路交通事故处理程序规定</w:t>
        </w:r>
      </w:hyperlink>
      <w:r>
        <w:rPr>
          <w:rFonts w:ascii="宋体" w:eastAsia="宋体" w:hAnsi="宋体" w:cs="宋体"/>
          <w:color w:val="000000"/>
          <w:sz w:val="27"/>
          <w:szCs w:val="27"/>
          <w:lang w:val="en-US" w:eastAsia="zh-CN" w:bidi="ar-SA"/>
        </w:rPr>
        <w:t>》第</w:t>
      </w:r>
      <w:hyperlink r:id="rId12"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13" w:anchor="tiao_6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14" w:anchor="tiao_60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的规定，认定被告人潘建明承担此次事故的全部责任，被害人陈某明、李元佳、莫某1、贾蕾杰无责任。</w:t>
      </w:r>
      <w:r>
        <w:rPr>
          <w:rFonts w:ascii="宋体" w:eastAsia="宋体" w:hAnsi="宋体" w:cs="宋体"/>
          <w:color w:val="000000"/>
          <w:sz w:val="27"/>
          <w:szCs w:val="27"/>
          <w:lang w:val="en-US" w:eastAsia="zh-CN" w:bidi="ar-SA"/>
        </w:rPr>
        <w:br/>
        <w:t xml:space="preserve">　　经肇庆市公安司法鉴定中心鉴定，被害人陈某明符合创伤性休克死亡，被害人李元佳符合颅脑损伤合并创伤性休克死亡。</w:t>
      </w:r>
      <w:r>
        <w:rPr>
          <w:rFonts w:ascii="宋体" w:eastAsia="宋体" w:hAnsi="宋体" w:cs="宋体"/>
          <w:color w:val="000000"/>
          <w:sz w:val="27"/>
          <w:szCs w:val="27"/>
          <w:lang w:val="en-US" w:eastAsia="zh-CN" w:bidi="ar-SA"/>
        </w:rPr>
        <w:br/>
        <w:t xml:space="preserve">　　被告人潘建明案发后已赔偿被害人及其亲属损失并取得其谅解。</w:t>
      </w:r>
      <w:r>
        <w:rPr>
          <w:rFonts w:ascii="宋体" w:eastAsia="宋体" w:hAnsi="宋体" w:cs="宋体"/>
          <w:color w:val="000000"/>
          <w:sz w:val="27"/>
          <w:szCs w:val="27"/>
          <w:lang w:val="en-US" w:eastAsia="zh-CN" w:bidi="ar-SA"/>
        </w:rPr>
        <w:br/>
        <w:t xml:space="preserve">　　公诉机关认为被告人潘建明的行为构成交通肇事罪，并具有自首、愿意接受刑事处罚、已赔偿被害人及其亲属损失并取得了其谅解的量刑情节，建议对被告人潘建明判处有期徒刑三年，适用缓刑。</w:t>
      </w:r>
      <w:r>
        <w:rPr>
          <w:rFonts w:ascii="宋体" w:eastAsia="宋体" w:hAnsi="宋体" w:cs="宋体"/>
          <w:color w:val="000000"/>
          <w:sz w:val="27"/>
          <w:szCs w:val="27"/>
          <w:lang w:val="en-US" w:eastAsia="zh-CN" w:bidi="ar-SA"/>
        </w:rPr>
        <w:br/>
        <w:t xml:space="preserve">　　被告人潘建明对指控事实、罪名、量刑建议没有异议且签字具结，在开庭审理过程中亦无异议。</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4" w:name="anchor-5"/>
      <w:bookmarkEnd w:id="4"/>
      <w:r>
        <w:rPr>
          <w:rFonts w:ascii="宋体" w:eastAsia="宋体" w:hAnsi="宋体" w:cs="宋体"/>
          <w:color w:val="000000"/>
          <w:sz w:val="27"/>
          <w:szCs w:val="27"/>
          <w:lang w:val="en-US" w:eastAsia="zh-CN" w:bidi="ar-SA"/>
        </w:rPr>
        <w:t xml:space="preserve">　　本院认为，公诉机关指控被告人潘建明犯交通肇事罪的事实清楚，证据确实、充分，指控罪名成立，量刑建议适当，应予采纳。被告人潘建明具有自首、愿意接受处罚、已赔偿被害人及其亲属的损失并取得谅解的从轻、从宽处罚情节,依法对其从轻、从宽处罚。根据被告人潘建明的犯罪情节、认罪态度和悔罪表现，为更利于对被告人的教育改造、回归社会，对其可以宣告缓刑。依照</w:t>
      </w:r>
      <w:bookmarkStart w:id="5" w:name="anchor-8"/>
      <w:bookmarkEnd w:id="5"/>
      <w:r>
        <w:rPr>
          <w:rFonts w:ascii="宋体" w:eastAsia="宋体" w:hAnsi="宋体" w:cs="宋体"/>
          <w:color w:val="000000"/>
          <w:sz w:val="27"/>
          <w:szCs w:val="27"/>
          <w:lang w:val="en-US" w:eastAsia="zh-CN" w:bidi="ar-SA"/>
        </w:rPr>
        <w:t>《</w:t>
      </w:r>
      <w:hyperlink r:id="rId15" w:history="1">
        <w:r>
          <w:rPr>
            <w:rStyle w:val="fulltext-wrapfulltexta"/>
            <w:rFonts w:ascii="宋体" w:eastAsia="宋体" w:hAnsi="宋体" w:cs="宋体"/>
            <w:sz w:val="27"/>
            <w:szCs w:val="27"/>
            <w:lang w:val="en-US" w:eastAsia="zh-CN" w:bidi="ar-SA"/>
          </w:rPr>
          <w:t>中华人民共和国刑法</w:t>
        </w:r>
      </w:hyperlink>
      <w:r>
        <w:rPr>
          <w:rFonts w:ascii="宋体" w:eastAsia="宋体" w:hAnsi="宋体" w:cs="宋体"/>
          <w:color w:val="000000"/>
          <w:sz w:val="27"/>
          <w:szCs w:val="27"/>
          <w:lang w:val="en-US" w:eastAsia="zh-CN" w:bidi="ar-SA"/>
        </w:rPr>
        <w:t>》第</w:t>
      </w:r>
      <w:hyperlink r:id="rId16" w:anchor="tiao_133" w:history="1">
        <w:r>
          <w:rPr>
            <w:rStyle w:val="fulltext-wrapfulltexta"/>
            <w:rFonts w:ascii="宋体" w:eastAsia="宋体" w:hAnsi="宋体" w:cs="宋体"/>
            <w:sz w:val="27"/>
            <w:szCs w:val="27"/>
            <w:lang w:val="en-US" w:eastAsia="zh-CN" w:bidi="ar-SA"/>
          </w:rPr>
          <w:t>一百三十三条</w:t>
        </w:r>
      </w:hyperlink>
      <w:r>
        <w:rPr>
          <w:rFonts w:ascii="宋体" w:eastAsia="宋体" w:hAnsi="宋体" w:cs="宋体"/>
          <w:color w:val="000000"/>
          <w:sz w:val="27"/>
          <w:szCs w:val="27"/>
          <w:lang w:val="en-US" w:eastAsia="zh-CN" w:bidi="ar-SA"/>
        </w:rPr>
        <w:t>、第</w:t>
      </w:r>
      <w:hyperlink r:id="rId17" w:anchor="tiao_67" w:history="1">
        <w:r>
          <w:rPr>
            <w:rStyle w:val="fulltext-wrapfulltexta"/>
            <w:rFonts w:ascii="宋体" w:eastAsia="宋体" w:hAnsi="宋体" w:cs="宋体"/>
            <w:sz w:val="27"/>
            <w:szCs w:val="27"/>
            <w:lang w:val="en-US" w:eastAsia="zh-CN" w:bidi="ar-SA"/>
          </w:rPr>
          <w:t>六十七条</w:t>
        </w:r>
      </w:hyperlink>
      <w:r>
        <w:rPr>
          <w:rFonts w:ascii="宋体" w:eastAsia="宋体" w:hAnsi="宋体" w:cs="宋体"/>
          <w:color w:val="000000"/>
          <w:sz w:val="27"/>
          <w:szCs w:val="27"/>
          <w:lang w:val="en-US" w:eastAsia="zh-CN" w:bidi="ar-SA"/>
        </w:rPr>
        <w:t>、第</w:t>
      </w:r>
      <w:hyperlink r:id="rId18" w:anchor="tiao_72" w:history="1">
        <w:r>
          <w:rPr>
            <w:rStyle w:val="fulltext-wrapfulltexta"/>
            <w:rFonts w:ascii="宋体" w:eastAsia="宋体" w:hAnsi="宋体" w:cs="宋体"/>
            <w:sz w:val="27"/>
            <w:szCs w:val="27"/>
            <w:lang w:val="en-US" w:eastAsia="zh-CN" w:bidi="ar-SA"/>
          </w:rPr>
          <w:t>七十二条</w:t>
        </w:r>
      </w:hyperlink>
      <w:r>
        <w:rPr>
          <w:rFonts w:ascii="宋体" w:eastAsia="宋体" w:hAnsi="宋体" w:cs="宋体"/>
          <w:color w:val="000000"/>
          <w:sz w:val="27"/>
          <w:szCs w:val="27"/>
          <w:lang w:val="en-US" w:eastAsia="zh-CN" w:bidi="ar-SA"/>
        </w:rPr>
        <w:t>，《</w:t>
      </w:r>
      <w:hyperlink r:id="rId19" w:history="1">
        <w:r>
          <w:rPr>
            <w:rStyle w:val="fulltext-wrapfulltexta"/>
            <w:rFonts w:ascii="宋体" w:eastAsia="宋体" w:hAnsi="宋体" w:cs="宋体"/>
            <w:sz w:val="27"/>
            <w:szCs w:val="27"/>
            <w:lang w:val="en-US" w:eastAsia="zh-CN" w:bidi="ar-SA"/>
          </w:rPr>
          <w:t>中华人民共和国刑事诉讼法</w:t>
        </w:r>
      </w:hyperlink>
      <w:r>
        <w:rPr>
          <w:rFonts w:ascii="宋体" w:eastAsia="宋体" w:hAnsi="宋体" w:cs="宋体"/>
          <w:color w:val="000000"/>
          <w:sz w:val="27"/>
          <w:szCs w:val="27"/>
          <w:lang w:val="en-US" w:eastAsia="zh-CN" w:bidi="ar-SA"/>
        </w:rPr>
        <w:t>》第</w:t>
      </w:r>
      <w:hyperlink r:id="rId20" w:anchor="tiao_201" w:history="1">
        <w:r>
          <w:rPr>
            <w:rStyle w:val="fulltext-wrapfulltexta"/>
            <w:rFonts w:ascii="宋体" w:eastAsia="宋体" w:hAnsi="宋体" w:cs="宋体"/>
            <w:sz w:val="27"/>
            <w:szCs w:val="27"/>
            <w:lang w:val="en-US" w:eastAsia="zh-CN" w:bidi="ar-SA"/>
          </w:rPr>
          <w:t>二百零一条</w:t>
        </w:r>
      </w:hyperlink>
      <w:r>
        <w:rPr>
          <w:rFonts w:ascii="宋体" w:eastAsia="宋体" w:hAnsi="宋体" w:cs="宋体"/>
          <w:color w:val="000000"/>
          <w:sz w:val="27"/>
          <w:szCs w:val="27"/>
          <w:lang w:val="en-US" w:eastAsia="zh-CN" w:bidi="ar-SA"/>
        </w:rPr>
        <w:t>的规定，判决如下：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6" w:name="anchor-4"/>
      <w:bookmarkEnd w:id="6"/>
      <w:r>
        <w:rPr>
          <w:rFonts w:ascii="宋体" w:eastAsia="宋体" w:hAnsi="宋体" w:cs="宋体"/>
          <w:color w:val="000000"/>
          <w:sz w:val="27"/>
          <w:szCs w:val="27"/>
          <w:lang w:val="en-US" w:eastAsia="zh-CN" w:bidi="ar-SA"/>
        </w:rPr>
        <w:t xml:space="preserve">　　被告人潘建明犯交通肇事罪，判处有期徒刑三年，缓刑四年。</w:t>
      </w:r>
      <w:r>
        <w:rPr>
          <w:rFonts w:ascii="宋体" w:eastAsia="宋体" w:hAnsi="宋体" w:cs="宋体"/>
          <w:color w:val="000000"/>
          <w:sz w:val="27"/>
          <w:szCs w:val="27"/>
          <w:lang w:val="en-US" w:eastAsia="zh-CN" w:bidi="ar-SA"/>
        </w:rPr>
        <w:br/>
        <w:t xml:space="preserve">　　(缓刑考验期限，从判决确定之日起计算。)</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如不服本判决，可在接到判决书的第二日起十日内，通过本院或者直接向肇庆市中级人民法院提出上诉。书面上诉的，应当提交上诉状正本一份，副本二份。</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7" w:name="anchor-6"/>
      <w:bookmarkEnd w:id="7"/>
    </w:p>
    <w:p w14:paraId="7B5F3209" w14:textId="77777777" w:rsidR="00000000" w:rsidRDefault="00000000">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t>审判员　陈晓成</w:t>
      </w:r>
      <w:r>
        <w:rPr>
          <w:rFonts w:ascii="宋体" w:eastAsia="宋体" w:hAnsi="宋体" w:cs="宋体"/>
          <w:color w:val="000000"/>
          <w:sz w:val="27"/>
          <w:szCs w:val="27"/>
          <w:lang w:val="en-US" w:eastAsia="zh-CN" w:bidi="ar-SA"/>
        </w:rPr>
        <w:br/>
        <w:t>二〇二一年五月二十五日</w:t>
      </w:r>
      <w:r>
        <w:rPr>
          <w:rFonts w:ascii="宋体" w:eastAsia="宋体" w:hAnsi="宋体" w:cs="宋体"/>
          <w:color w:val="000000"/>
          <w:sz w:val="27"/>
          <w:szCs w:val="27"/>
          <w:lang w:val="en-US" w:eastAsia="zh-CN" w:bidi="ar-SA"/>
        </w:rPr>
        <w:br/>
        <w:t>书记员　杜国新</w:t>
      </w:r>
    </w:p>
    <w:p w14:paraId="0E0F7384" w14:textId="77777777" w:rsidR="00000000" w:rsidRDefault="00000000">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附法律依据</w:t>
      </w:r>
      <w:bookmarkStart w:id="8" w:name="anchor-7"/>
      <w:bookmarkEnd w:id="8"/>
      <w:r>
        <w:rPr>
          <w:rFonts w:ascii="宋体" w:eastAsia="宋体" w:hAnsi="宋体" w:cs="宋体"/>
          <w:color w:val="000000"/>
          <w:sz w:val="27"/>
          <w:szCs w:val="27"/>
          <w:lang w:val="en-US" w:eastAsia="zh-CN" w:bidi="ar-SA"/>
        </w:rPr>
        <w:t>附相关法律条文：</w:t>
      </w:r>
      <w:r>
        <w:rPr>
          <w:rFonts w:ascii="宋体" w:eastAsia="宋体" w:hAnsi="宋体" w:cs="宋体"/>
          <w:color w:val="000000"/>
          <w:sz w:val="27"/>
          <w:szCs w:val="27"/>
          <w:lang w:val="en-US" w:eastAsia="zh-CN" w:bidi="ar-SA"/>
        </w:rPr>
        <w:br/>
        <w:t>一、《</w:t>
      </w:r>
      <w:hyperlink r:id="rId21" w:history="1">
        <w:r>
          <w:rPr>
            <w:rStyle w:val="fulltext-wrapfulltexta"/>
            <w:rFonts w:ascii="宋体" w:eastAsia="宋体" w:hAnsi="宋体" w:cs="宋体"/>
            <w:sz w:val="27"/>
            <w:szCs w:val="27"/>
            <w:lang w:val="en-US" w:eastAsia="zh-CN" w:bidi="ar-SA"/>
          </w:rPr>
          <w:t>中华人民共和国刑法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t>第一百三十三条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r>
        <w:rPr>
          <w:rFonts w:ascii="宋体" w:eastAsia="宋体" w:hAnsi="宋体" w:cs="宋体"/>
          <w:color w:val="000000"/>
          <w:sz w:val="27"/>
          <w:szCs w:val="27"/>
          <w:lang w:val="en-US" w:eastAsia="zh-CN" w:bidi="ar-SA"/>
        </w:rPr>
        <w:br/>
        <w:t>第六十七条犯罪以后自动投案，如实供述自己的罪行的，是自首。对于自首的犯罪分子，可以从轻或者减轻处罚。其中，犯罪较轻的，可以免除处罚。</w:t>
      </w:r>
      <w:r>
        <w:rPr>
          <w:rFonts w:ascii="宋体" w:eastAsia="宋体" w:hAnsi="宋体" w:cs="宋体"/>
          <w:color w:val="000000"/>
          <w:sz w:val="27"/>
          <w:szCs w:val="27"/>
          <w:lang w:val="en-US" w:eastAsia="zh-CN" w:bidi="ar-SA"/>
        </w:rPr>
        <w:br/>
        <w:t>被采取强制措施的被告人、被告人和正在服刑的罪犯，如实供述司法机关还未掌握的本人其他罪行的，以自首论。</w:t>
      </w:r>
      <w:r>
        <w:rPr>
          <w:rFonts w:ascii="宋体" w:eastAsia="宋体" w:hAnsi="宋体" w:cs="宋体"/>
          <w:color w:val="000000"/>
          <w:sz w:val="27"/>
          <w:szCs w:val="27"/>
          <w:lang w:val="en-US" w:eastAsia="zh-CN" w:bidi="ar-SA"/>
        </w:rPr>
        <w:br/>
        <w:t>被告人虽不具有前两款规定的自首情节，但是如实供述自己罪行的，可以从轻处罚;因其如实供述自己罪行，避免特别严重后果发生的，可以减轻处罚。</w:t>
      </w:r>
      <w:r>
        <w:rPr>
          <w:rFonts w:ascii="宋体" w:eastAsia="宋体" w:hAnsi="宋体" w:cs="宋体"/>
          <w:color w:val="000000"/>
          <w:sz w:val="27"/>
          <w:szCs w:val="27"/>
          <w:lang w:val="en-US" w:eastAsia="zh-CN" w:bidi="ar-SA"/>
        </w:rPr>
        <w:br/>
        <w:t>第七十二条对于被判处拘役、三年以下有期徒刑的犯罪分子，同时符合下列条件的，可以宣告缓刑，对其中不满十八周岁的人、怀孕的妇女和已满七十五周岁的</w:t>
      </w:r>
      <w:r>
        <w:rPr>
          <w:rFonts w:ascii="宋体" w:eastAsia="宋体" w:hAnsi="宋体" w:cs="宋体"/>
          <w:color w:val="000000"/>
          <w:sz w:val="27"/>
          <w:szCs w:val="27"/>
          <w:lang w:val="en-US" w:eastAsia="zh-CN" w:bidi="ar-SA"/>
        </w:rPr>
        <w:lastRenderedPageBreak/>
        <w:t>人，应当宣告缓刑：</w:t>
      </w:r>
      <w:r>
        <w:rPr>
          <w:rFonts w:ascii="宋体" w:eastAsia="宋体" w:hAnsi="宋体" w:cs="宋体"/>
          <w:color w:val="000000"/>
          <w:sz w:val="27"/>
          <w:szCs w:val="27"/>
          <w:lang w:val="en-US" w:eastAsia="zh-CN" w:bidi="ar-SA"/>
        </w:rPr>
        <w:br/>
        <w:t>(一)犯罪情节较轻；</w:t>
      </w:r>
      <w:r>
        <w:rPr>
          <w:rFonts w:ascii="宋体" w:eastAsia="宋体" w:hAnsi="宋体" w:cs="宋体"/>
          <w:color w:val="000000"/>
          <w:sz w:val="27"/>
          <w:szCs w:val="27"/>
          <w:lang w:val="en-US" w:eastAsia="zh-CN" w:bidi="ar-SA"/>
        </w:rPr>
        <w:br/>
        <w:t>(二)有悔罪表现；</w:t>
      </w:r>
      <w:r>
        <w:rPr>
          <w:rFonts w:ascii="宋体" w:eastAsia="宋体" w:hAnsi="宋体" w:cs="宋体"/>
          <w:color w:val="000000"/>
          <w:sz w:val="27"/>
          <w:szCs w:val="27"/>
          <w:lang w:val="en-US" w:eastAsia="zh-CN" w:bidi="ar-SA"/>
        </w:rPr>
        <w:br/>
        <w:t>(三)没有再犯罪的危险；</w:t>
      </w:r>
      <w:r>
        <w:rPr>
          <w:rFonts w:ascii="宋体" w:eastAsia="宋体" w:hAnsi="宋体" w:cs="宋体"/>
          <w:color w:val="000000"/>
          <w:sz w:val="27"/>
          <w:szCs w:val="27"/>
          <w:lang w:val="en-US" w:eastAsia="zh-CN" w:bidi="ar-SA"/>
        </w:rPr>
        <w:br/>
        <w:t>(四)宣告缓刑对所居住社区没有重大不良影响。</w:t>
      </w:r>
      <w:r>
        <w:rPr>
          <w:rFonts w:ascii="宋体" w:eastAsia="宋体" w:hAnsi="宋体" w:cs="宋体"/>
          <w:color w:val="000000"/>
          <w:sz w:val="27"/>
          <w:szCs w:val="27"/>
          <w:lang w:val="en-US" w:eastAsia="zh-CN" w:bidi="ar-SA"/>
        </w:rPr>
        <w:br/>
        <w:t>宣告缓刑，可以根据犯罪情况，同时禁止犯罪分子在缓刑考验期限内从事特定活动，进入特定区域、场所，接触特定的人。</w:t>
      </w:r>
      <w:r>
        <w:rPr>
          <w:rFonts w:ascii="宋体" w:eastAsia="宋体" w:hAnsi="宋体" w:cs="宋体"/>
          <w:color w:val="000000"/>
          <w:sz w:val="27"/>
          <w:szCs w:val="27"/>
          <w:lang w:val="en-US" w:eastAsia="zh-CN" w:bidi="ar-SA"/>
        </w:rPr>
        <w:br/>
        <w:t>被宣告缓刑的犯罪分子，如果被判处附加刑，附加刑仍须执行。</w:t>
      </w:r>
      <w:r>
        <w:rPr>
          <w:rFonts w:ascii="宋体" w:eastAsia="宋体" w:hAnsi="宋体" w:cs="宋体"/>
          <w:color w:val="000000"/>
          <w:sz w:val="27"/>
          <w:szCs w:val="27"/>
          <w:lang w:val="en-US" w:eastAsia="zh-CN" w:bidi="ar-SA"/>
        </w:rPr>
        <w:br/>
        <w:t>二、《</w:t>
      </w:r>
      <w:hyperlink r:id="rId22" w:history="1">
        <w:r>
          <w:rPr>
            <w:rStyle w:val="fulltext-wrapfulltexta"/>
            <w:rFonts w:ascii="宋体" w:eastAsia="宋体" w:hAnsi="宋体" w:cs="宋体"/>
            <w:sz w:val="27"/>
            <w:szCs w:val="27"/>
            <w:lang w:val="en-US" w:eastAsia="zh-CN" w:bidi="ar-SA"/>
          </w:rPr>
          <w:t>中华人民共和国刑事诉讼法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t>第二百零一条对于认罪认罚案件，人民法院依法作出判决时，一般应当采纳人民检察院指控的罪名和量刑建议，但有下列情形的除外：</w:t>
      </w:r>
      <w:r>
        <w:rPr>
          <w:rFonts w:ascii="宋体" w:eastAsia="宋体" w:hAnsi="宋体" w:cs="宋体"/>
          <w:color w:val="000000"/>
          <w:sz w:val="27"/>
          <w:szCs w:val="27"/>
          <w:lang w:val="en-US" w:eastAsia="zh-CN" w:bidi="ar-SA"/>
        </w:rPr>
        <w:br/>
        <w:t>(一)被告人的行为不构成犯罪或者不应当追究其刑事责任的；</w:t>
      </w:r>
      <w:r>
        <w:rPr>
          <w:rFonts w:ascii="宋体" w:eastAsia="宋体" w:hAnsi="宋体" w:cs="宋体"/>
          <w:color w:val="000000"/>
          <w:sz w:val="27"/>
          <w:szCs w:val="27"/>
          <w:lang w:val="en-US" w:eastAsia="zh-CN" w:bidi="ar-SA"/>
        </w:rPr>
        <w:br/>
        <w:t>(二)被告人违背意愿认罪认罚的；</w:t>
      </w:r>
      <w:r>
        <w:rPr>
          <w:rFonts w:ascii="宋体" w:eastAsia="宋体" w:hAnsi="宋体" w:cs="宋体"/>
          <w:color w:val="000000"/>
          <w:sz w:val="27"/>
          <w:szCs w:val="27"/>
          <w:lang w:val="en-US" w:eastAsia="zh-CN" w:bidi="ar-SA"/>
        </w:rPr>
        <w:br/>
        <w:t>(三)被告人否认指控的犯罪事实的；</w:t>
      </w:r>
      <w:r>
        <w:rPr>
          <w:rFonts w:ascii="宋体" w:eastAsia="宋体" w:hAnsi="宋体" w:cs="宋体"/>
          <w:color w:val="000000"/>
          <w:sz w:val="27"/>
          <w:szCs w:val="27"/>
          <w:lang w:val="en-US" w:eastAsia="zh-CN" w:bidi="ar-SA"/>
        </w:rPr>
        <w:br/>
        <w:t>(四)起诉指控的罪名与审理认定的罪名不一致的；</w:t>
      </w:r>
      <w:r>
        <w:rPr>
          <w:rFonts w:ascii="宋体" w:eastAsia="宋体" w:hAnsi="宋体" w:cs="宋体"/>
          <w:color w:val="000000"/>
          <w:sz w:val="27"/>
          <w:szCs w:val="27"/>
          <w:lang w:val="en-US" w:eastAsia="zh-CN" w:bidi="ar-SA"/>
        </w:rPr>
        <w:br/>
        <w:t>(五)其他可能影响公正审判的情形。</w:t>
      </w:r>
      <w:r>
        <w:rPr>
          <w:rFonts w:ascii="宋体" w:eastAsia="宋体" w:hAnsi="宋体" w:cs="宋体"/>
          <w:color w:val="000000"/>
          <w:sz w:val="27"/>
          <w:szCs w:val="27"/>
          <w:lang w:val="en-US" w:eastAsia="zh-CN" w:bidi="ar-SA"/>
        </w:rPr>
        <w:br/>
        <w:t xml:space="preserve">人民法院经审理认为量刑建议明显不当，或者被告人、辩护人对量刑建议提出异议的，人民检察院可以调整量刑建议。人民检察院不调整量刑建议或者调整量刑建议后仍然明显不当的，人民法院应当依法作出判决。 </w:t>
      </w:r>
    </w:p>
    <w:p w14:paraId="01CF4654" w14:textId="77777777" w:rsidR="00000000" w:rsidRDefault="00000000">
      <w:pPr>
        <w:ind w:left="375" w:right="375"/>
        <w:rPr>
          <w:rFonts w:ascii="Arial" w:eastAsia="Arial" w:hAnsi="Arial" w:cs="Arial"/>
          <w:lang w:val="en-US" w:eastAsia="zh-CN" w:bidi="ar-SA"/>
        </w:rPr>
      </w:pPr>
      <w:r>
        <w:rPr>
          <w:rFonts w:ascii="Arial" w:eastAsia="Arial" w:hAnsi="Arial" w:cs="Arial"/>
          <w:lang w:val="en-US" w:eastAsia="zh-CN" w:bidi="ar-SA"/>
        </w:rPr>
        <w:br/>
      </w:r>
    </w:p>
    <w:p w14:paraId="07C9C0E9" w14:textId="77777777" w:rsidR="00000000" w:rsidRDefault="00A77B3E">
      <w:pPr>
        <w:spacing w:line="630" w:lineRule="atLeast"/>
        <w:rPr>
          <w:rFonts w:eastAsia="Times New Roman"/>
          <w:sz w:val="26"/>
          <w:szCs w:val="26"/>
          <w:lang w:val="en-US" w:eastAsia="zh-CN" w:bidi="ar-SA"/>
        </w:rPr>
      </w:pPr>
      <w:r>
        <w:br w:type="page"/>
      </w:r>
      <w:r w:rsidR="00000000">
        <w:rPr>
          <w:rFonts w:eastAsia="Times New Roman"/>
          <w:sz w:val="26"/>
          <w:szCs w:val="26"/>
          <w:lang w:val="en-US" w:eastAsia="zh-CN" w:bidi="ar-SA"/>
        </w:rPr>
        <w:lastRenderedPageBreak/>
        <w:t>©北大法宝：（</w:t>
      </w:r>
      <w:hyperlink r:id="rId23" w:history="1">
        <w:r w:rsidR="00000000">
          <w:rPr>
            <w:rFonts w:eastAsia="Times New Roman"/>
            <w:color w:val="218FC4"/>
            <w:sz w:val="26"/>
            <w:szCs w:val="26"/>
            <w:u w:val="single" w:color="218FC4"/>
            <w:lang w:val="en-US" w:eastAsia="zh-CN" w:bidi="ar-SA"/>
          </w:rPr>
          <w:t>www.pkulaw.com</w:t>
        </w:r>
      </w:hyperlink>
      <w:r w:rsidR="00000000">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24" w:history="1">
        <w:r w:rsidR="00000000">
          <w:rPr>
            <w:rFonts w:eastAsia="Times New Roman"/>
            <w:color w:val="218FC4"/>
            <w:sz w:val="26"/>
            <w:szCs w:val="26"/>
            <w:u w:val="single" w:color="218FC4"/>
            <w:lang w:val="en-US" w:eastAsia="zh-CN" w:bidi="ar-SA"/>
          </w:rPr>
          <w:t>产品和服务</w:t>
        </w:r>
      </w:hyperlink>
      <w:r w:rsidR="00000000">
        <w:rPr>
          <w:rFonts w:eastAsia="Times New Roman"/>
          <w:sz w:val="26"/>
          <w:szCs w:val="26"/>
          <w:lang w:val="en-US" w:eastAsia="zh-CN" w:bidi="ar-SA"/>
        </w:rPr>
        <w:t>。</w:t>
      </w:r>
      <w:r w:rsidR="00000000">
        <w:rPr>
          <w:rFonts w:eastAsia="Times New Roman"/>
          <w:sz w:val="26"/>
          <w:szCs w:val="26"/>
          <w:lang w:val="en-US" w:eastAsia="zh-CN" w:bidi="ar-SA"/>
        </w:rPr>
        <w:br/>
      </w:r>
      <w:hyperlink r:id="rId25" w:history="1">
        <w:r w:rsidR="00000000">
          <w:rPr>
            <w:rFonts w:eastAsia="Times New Roman"/>
            <w:color w:val="218FC4"/>
            <w:sz w:val="26"/>
            <w:szCs w:val="26"/>
            <w:u w:val="single" w:color="218FC4"/>
            <w:lang w:val="en-US" w:eastAsia="zh-CN" w:bidi="ar-SA"/>
          </w:rPr>
          <w:t>法宝快讯： 如何快速找到您需要的检索结果？ 法宝 V6 有何新特色？</w:t>
        </w:r>
      </w:hyperlink>
    </w:p>
    <w:p w14:paraId="61FA6D8E" w14:textId="0BB8DA82" w:rsidR="00000000" w:rsidRDefault="00FE67FB">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65272988" wp14:editId="15237128">
            <wp:extent cx="2438400" cy="24384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49D949" w14:textId="77777777" w:rsidR="00000000" w:rsidRDefault="00000000">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2F21A7FA" w14:textId="77777777" w:rsidR="00000000" w:rsidRDefault="00000000">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27" w:history="1">
        <w:r>
          <w:rPr>
            <w:rFonts w:eastAsia="Times New Roman"/>
            <w:color w:val="000000"/>
            <w:sz w:val="26"/>
            <w:szCs w:val="26"/>
            <w:u w:val="single" w:color="000000"/>
            <w:lang w:val="en-US" w:eastAsia="zh-CN" w:bidi="ar-SA"/>
          </w:rPr>
          <w:t xml:space="preserve">https://www.pkulaw.com/pfnl/c05aeed05a57db0a6b7c4cd5bf43df0913e0b2215b8fcc5ebdfb.html </w:t>
        </w:r>
      </w:hyperlink>
    </w:p>
    <w:p w14:paraId="3935EF39" w14:textId="77777777" w:rsidR="00A77B3E" w:rsidRDefault="00A77B3E"/>
    <w:sectPr w:rsidR="00A77B3E">
      <w:headerReference w:type="default" r:id="rId28"/>
      <w:footerReference w:type="default" r:id="rId2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699C" w14:textId="77777777" w:rsidR="00814143" w:rsidRDefault="00814143">
      <w:r>
        <w:separator/>
      </w:r>
    </w:p>
  </w:endnote>
  <w:endnote w:type="continuationSeparator" w:id="0">
    <w:p w14:paraId="16A73168" w14:textId="77777777" w:rsidR="00814143" w:rsidRDefault="00814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06"/>
      <w:gridCol w:w="8960"/>
    </w:tblGrid>
    <w:tr w:rsidR="00000000" w14:paraId="4FA869F8" w14:textId="77777777">
      <w:trPr>
        <w:tblCellSpacing w:w="15" w:type="dxa"/>
      </w:trPr>
      <w:tc>
        <w:tcPr>
          <w:tcW w:w="0" w:type="auto"/>
          <w:tcMar>
            <w:top w:w="15" w:type="dxa"/>
            <w:left w:w="15" w:type="dxa"/>
            <w:bottom w:w="15" w:type="dxa"/>
            <w:right w:w="15" w:type="dxa"/>
          </w:tcMar>
          <w:vAlign w:val="center"/>
          <w:hideMark/>
        </w:tcPr>
        <w:p w14:paraId="0B47C31E" w14:textId="77777777" w:rsidR="00000000" w:rsidRDefault="00000000">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FE67FB">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FE67FB">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14:paraId="5B14FFDB" w14:textId="77777777" w:rsidR="00000000" w:rsidRDefault="00000000">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下载日期：2025-10-25</w:t>
          </w:r>
        </w:p>
      </w:tc>
    </w:tr>
  </w:tbl>
  <w:p w14:paraId="0AF64123"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EB20" w14:textId="77777777" w:rsidR="00814143" w:rsidRDefault="00814143">
      <w:r>
        <w:separator/>
      </w:r>
    </w:p>
  </w:footnote>
  <w:footnote w:type="continuationSeparator" w:id="0">
    <w:p w14:paraId="1872C814" w14:textId="77777777" w:rsidR="00814143" w:rsidRDefault="00814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21"/>
      <w:gridCol w:w="5745"/>
    </w:tblGrid>
    <w:tr w:rsidR="00000000" w14:paraId="3B9C1863" w14:textId="77777777">
      <w:trPr>
        <w:tblCellSpacing w:w="15" w:type="dxa"/>
      </w:trPr>
      <w:tc>
        <w:tcPr>
          <w:tcW w:w="0" w:type="auto"/>
          <w:tcMar>
            <w:top w:w="15" w:type="dxa"/>
            <w:left w:w="15" w:type="dxa"/>
            <w:bottom w:w="15" w:type="dxa"/>
            <w:right w:w="15" w:type="dxa"/>
          </w:tcMar>
          <w:vAlign w:val="center"/>
          <w:hideMark/>
        </w:tcPr>
        <w:p w14:paraId="744A3B91" w14:textId="73CFBC19" w:rsidR="00000000" w:rsidRDefault="00FE67FB">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773CF1C2" wp14:editId="379F42BA">
                <wp:extent cx="173355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EDC119A" w14:textId="77777777" w:rsidR="00000000" w:rsidRDefault="00000000">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【法宝引证码】CLI.C.318356817</w:t>
          </w:r>
        </w:p>
      </w:tc>
    </w:tr>
  </w:tbl>
  <w:p w14:paraId="6E6066D4" w14:textId="77777777" w:rsidR="00000000"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814143"/>
    <w:rsid w:val="00A77B3E"/>
    <w:rsid w:val="00CA2A55"/>
    <w:rsid w:val="00FE67F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A2BD4"/>
  <w15:chartTrackingRefBased/>
  <w15:docId w15:val="{BC487EF3-3C8A-4EDC-8164-6A75E152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styleId="a3">
    <w:name w:val="header"/>
    <w:basedOn w:val="a"/>
    <w:link w:val="a4"/>
    <w:rsid w:val="00FE67FB"/>
    <w:pPr>
      <w:tabs>
        <w:tab w:val="center" w:pos="4153"/>
        <w:tab w:val="right" w:pos="8306"/>
      </w:tabs>
      <w:snapToGrid w:val="0"/>
      <w:jc w:val="center"/>
    </w:pPr>
    <w:rPr>
      <w:sz w:val="18"/>
      <w:szCs w:val="18"/>
    </w:rPr>
  </w:style>
  <w:style w:type="character" w:customStyle="1" w:styleId="a4">
    <w:name w:val="页眉 字符"/>
    <w:basedOn w:val="a0"/>
    <w:link w:val="a3"/>
    <w:rsid w:val="00FE67FB"/>
    <w:rPr>
      <w:sz w:val="18"/>
      <w:szCs w:val="18"/>
    </w:rPr>
  </w:style>
  <w:style w:type="paragraph" w:styleId="a5">
    <w:name w:val="footer"/>
    <w:basedOn w:val="a"/>
    <w:link w:val="a6"/>
    <w:rsid w:val="00FE67FB"/>
    <w:pPr>
      <w:tabs>
        <w:tab w:val="center" w:pos="4153"/>
        <w:tab w:val="right" w:pos="8306"/>
      </w:tabs>
      <w:snapToGrid w:val="0"/>
    </w:pPr>
    <w:rPr>
      <w:sz w:val="18"/>
      <w:szCs w:val="18"/>
    </w:rPr>
  </w:style>
  <w:style w:type="character" w:customStyle="1" w:styleId="a6">
    <w:name w:val="页脚 字符"/>
    <w:basedOn w:val="a0"/>
    <w:link w:val="a5"/>
    <w:rsid w:val="00FE67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pkulaw.com/chl/4e282a35dd948d7abdfb.html?way=textSlc" TargetMode="External"/><Relationship Id="rId13" Type="http://schemas.openxmlformats.org/officeDocument/2006/relationships/hyperlink" Target="https://www.pkulaw.com/chl/07a06811777078efbdfb.html?way=textSlc" TargetMode="External"/><Relationship Id="rId18" Type="http://schemas.openxmlformats.org/officeDocument/2006/relationships/hyperlink" Target="https://www.pkulaw.com/chl/39c1b78830b970eabdfb.html?way=textSlc" TargetMode="External"/><Relationship Id="rId26"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www.pkulaw.com/chl/39c1b78830b970eabdfb.html?way=textSlc" TargetMode="External"/><Relationship Id="rId7" Type="http://schemas.openxmlformats.org/officeDocument/2006/relationships/hyperlink" Target="https://www.pkulaw.com/chl/4e282a35dd948d7abdfb.html?way=textSlc" TargetMode="External"/><Relationship Id="rId12" Type="http://schemas.openxmlformats.org/officeDocument/2006/relationships/hyperlink" Target="https://www.pkulaw.com/chl/07a06811777078efbdfb.html?way=textSlc" TargetMode="External"/><Relationship Id="rId17" Type="http://schemas.openxmlformats.org/officeDocument/2006/relationships/hyperlink" Target="https://www.pkulaw.com/chl/39c1b78830b970eabdfb.html?way=textSlc" TargetMode="External"/><Relationship Id="rId25" Type="http://schemas.openxmlformats.org/officeDocument/2006/relationships/hyperlink" Target="http://www.pkulaw.com/helps/69.html" TargetMode="External"/><Relationship Id="rId2" Type="http://schemas.openxmlformats.org/officeDocument/2006/relationships/settings" Target="settings.xml"/><Relationship Id="rId16" Type="http://schemas.openxmlformats.org/officeDocument/2006/relationships/hyperlink" Target="https://www.pkulaw.com/chl/39c1b78830b970eabdfb.html?way=textSlc" TargetMode="External"/><Relationship Id="rId20" Type="http://schemas.openxmlformats.org/officeDocument/2006/relationships/hyperlink" Target="https://www.pkulaw.com/chl/5a06769be1274052bdfb.html?way=textSlc" TargetMode="External"/><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pkulaw.com/chl/4e282a35dd948d7abdfb.html?way=textSlc" TargetMode="External"/><Relationship Id="rId11" Type="http://schemas.openxmlformats.org/officeDocument/2006/relationships/hyperlink" Target="https://www.pkulaw.com/chl/07a06811777078efbdfb.html?way=textSlc" TargetMode="External"/><Relationship Id="rId24" Type="http://schemas.openxmlformats.org/officeDocument/2006/relationships/hyperlink" Target="http://www.pkulaw.net/" TargetMode="External"/><Relationship Id="rId5" Type="http://schemas.openxmlformats.org/officeDocument/2006/relationships/endnotes" Target="endnotes.xml"/><Relationship Id="rId15" Type="http://schemas.openxmlformats.org/officeDocument/2006/relationships/hyperlink" Target="https://www.pkulaw.com/chl/39c1b78830b970eabdfb.html?way=textSlc" TargetMode="External"/><Relationship Id="rId23" Type="http://schemas.openxmlformats.org/officeDocument/2006/relationships/hyperlink" Target="https://www.pkulaw.com" TargetMode="External"/><Relationship Id="rId28" Type="http://schemas.openxmlformats.org/officeDocument/2006/relationships/header" Target="header1.xml"/><Relationship Id="rId10" Type="http://schemas.openxmlformats.org/officeDocument/2006/relationships/hyperlink" Target="https://www.pkulaw.com/chl/3e3e79a1584ff5e1bdfb.html?way=textSlc" TargetMode="External"/><Relationship Id="rId19" Type="http://schemas.openxmlformats.org/officeDocument/2006/relationships/hyperlink" Target="https://www.pkulaw.com/chl/5a06769be1274052bdfb.html?way=textSlc"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pkulaw.com/chl/3e3e79a1584ff5e1bdfb.html?way=textSlc" TargetMode="External"/><Relationship Id="rId14" Type="http://schemas.openxmlformats.org/officeDocument/2006/relationships/hyperlink" Target="https://www.pkulaw.com/chl/07a06811777078efbdfb.html?way=textSlc" TargetMode="External"/><Relationship Id="rId22" Type="http://schemas.openxmlformats.org/officeDocument/2006/relationships/hyperlink" Target="https://www.pkulaw.com/chl/5a06769be1274052bdfb.html?way=textSlc" TargetMode="External"/><Relationship Id="rId27" Type="http://schemas.openxmlformats.org/officeDocument/2006/relationships/hyperlink" Target="https://www.pkulaw.com/pfnl/c05aeed05a57db0a6b7c4cd5bf43df0913e0b2215b8fcc5ebdfb.htm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2140</Words>
  <Characters>2183</Characters>
  <Application>Microsoft Office Word</Application>
  <DocSecurity>0</DocSecurity>
  <Lines>94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陈星彤</dc:creator>
  <cp:keywords/>
  <cp:lastModifiedBy>陈星彤</cp:lastModifiedBy>
  <cp:revision>2</cp:revision>
  <cp:lastPrinted>1601-01-01T00:00:00Z</cp:lastPrinted>
  <dcterms:created xsi:type="dcterms:W3CDTF">2025-11-14T09:13:00Z</dcterms:created>
  <dcterms:modified xsi:type="dcterms:W3CDTF">2025-11-14T09:13:00Z</dcterms:modified>
</cp:coreProperties>
</file>