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3C287F" w14:textId="77777777" w:rsidR="00582E17" w:rsidRDefault="005216F5">
      <w:pPr>
        <w:rPr>
          <w:sz w:val="26"/>
          <w:szCs w:val="26"/>
        </w:rPr>
      </w:pPr>
      <w:r>
        <w:rPr>
          <w:sz w:val="26"/>
          <w:szCs w:val="26"/>
        </w:rPr>
        <w:t>Fernanda Chen</w:t>
      </w:r>
    </w:p>
    <w:p w14:paraId="25EA61A9" w14:textId="77777777" w:rsidR="00582E17" w:rsidRDefault="005216F5">
      <w:pPr>
        <w:rPr>
          <w:sz w:val="26"/>
          <w:szCs w:val="26"/>
        </w:rPr>
      </w:pPr>
      <w:r>
        <w:rPr>
          <w:sz w:val="26"/>
          <w:szCs w:val="26"/>
        </w:rPr>
        <w:t>Milena Cristina</w:t>
      </w:r>
    </w:p>
    <w:p w14:paraId="2BB15BD9" w14:textId="77777777" w:rsidR="00582E17" w:rsidRDefault="005216F5">
      <w:pPr>
        <w:rPr>
          <w:sz w:val="26"/>
          <w:szCs w:val="26"/>
        </w:rPr>
      </w:pPr>
      <w:r>
        <w:rPr>
          <w:sz w:val="26"/>
          <w:szCs w:val="26"/>
        </w:rPr>
        <w:t>Raquel Vitória</w:t>
      </w:r>
    </w:p>
    <w:p w14:paraId="4E1D6A4C" w14:textId="77777777" w:rsidR="00582E17" w:rsidRDefault="005216F5">
      <w:pPr>
        <w:rPr>
          <w:sz w:val="26"/>
          <w:szCs w:val="26"/>
        </w:rPr>
      </w:pPr>
      <w:proofErr w:type="spellStart"/>
      <w:r>
        <w:rPr>
          <w:sz w:val="26"/>
          <w:szCs w:val="26"/>
        </w:rPr>
        <w:t>Yoná</w:t>
      </w:r>
      <w:proofErr w:type="spellEnd"/>
      <w:r>
        <w:rPr>
          <w:sz w:val="26"/>
          <w:szCs w:val="26"/>
        </w:rPr>
        <w:t xml:space="preserve"> Maia</w:t>
      </w:r>
    </w:p>
    <w:p w14:paraId="5983D6FA" w14:textId="77777777" w:rsidR="00582E17" w:rsidRDefault="00582E17">
      <w:pPr>
        <w:rPr>
          <w:sz w:val="26"/>
          <w:szCs w:val="26"/>
        </w:rPr>
      </w:pPr>
    </w:p>
    <w:p w14:paraId="31DB07D8" w14:textId="77777777" w:rsidR="00582E17" w:rsidRDefault="005216F5">
      <w:pPr>
        <w:pStyle w:val="Ttulo3"/>
        <w:keepNext w:val="0"/>
        <w:keepLines w:val="0"/>
        <w:spacing w:before="280"/>
        <w:jc w:val="center"/>
        <w:rPr>
          <w:b/>
          <w:bCs/>
          <w:color w:val="000000"/>
          <w:sz w:val="34"/>
          <w:szCs w:val="34"/>
        </w:rPr>
      </w:pPr>
      <w:bookmarkStart w:id="0" w:name="_7cqwh93y3imb" w:colFirst="0" w:colLast="0"/>
      <w:bookmarkEnd w:id="0"/>
      <w:r>
        <w:rPr>
          <w:b/>
          <w:bCs/>
          <w:color w:val="000000"/>
          <w:sz w:val="34"/>
          <w:szCs w:val="34"/>
        </w:rPr>
        <w:t xml:space="preserve">Esquema de Cores: Projeto da Disciplina </w:t>
      </w:r>
    </w:p>
    <w:p w14:paraId="3AC8A6D6" w14:textId="77777777" w:rsidR="00582E17" w:rsidRDefault="00582E17"/>
    <w:p w14:paraId="3EB53084" w14:textId="77777777" w:rsidR="00582E17" w:rsidRDefault="00582E17"/>
    <w:p w14:paraId="48130A73" w14:textId="77777777" w:rsidR="00582E17" w:rsidRDefault="005216F5">
      <w:pPr>
        <w:numPr>
          <w:ilvl w:val="0"/>
          <w:numId w:val="1"/>
        </w:num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Metáfora: </w:t>
      </w:r>
      <w:r>
        <w:rPr>
          <w:b/>
          <w:bCs/>
          <w:color w:val="674EA7"/>
          <w:sz w:val="26"/>
          <w:szCs w:val="26"/>
        </w:rPr>
        <w:t xml:space="preserve">"O estoque na palma da mão, a venda num clique." </w:t>
      </w:r>
    </w:p>
    <w:p w14:paraId="1D84B718" w14:textId="77777777" w:rsidR="00582E17" w:rsidRDefault="00582E17">
      <w:pPr>
        <w:spacing w:before="240" w:after="240"/>
        <w:ind w:left="720"/>
        <w:rPr>
          <w:b/>
          <w:bCs/>
          <w:sz w:val="26"/>
          <w:szCs w:val="26"/>
        </w:rPr>
      </w:pPr>
    </w:p>
    <w:p w14:paraId="0770DAFB" w14:textId="77777777" w:rsidR="00582E17" w:rsidRDefault="005216F5">
      <w:pPr>
        <w:numPr>
          <w:ilvl w:val="0"/>
          <w:numId w:val="1"/>
        </w:num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>Tipo do Esquema:</w:t>
      </w:r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Monocromático com Acento Complementar</w:t>
      </w:r>
      <w:r>
        <w:rPr>
          <w:sz w:val="26"/>
          <w:szCs w:val="26"/>
        </w:rPr>
        <w:t xml:space="preserve">. Este esquema utiliza variações de uma </w:t>
      </w:r>
      <w:proofErr w:type="gramStart"/>
      <w:r>
        <w:rPr>
          <w:sz w:val="26"/>
          <w:szCs w:val="26"/>
        </w:rPr>
        <w:t>mesma matiz</w:t>
      </w:r>
      <w:proofErr w:type="gramEnd"/>
      <w:r>
        <w:rPr>
          <w:sz w:val="26"/>
          <w:szCs w:val="26"/>
        </w:rPr>
        <w:t xml:space="preserve"> (roxo) para criar harmonia e uma cor oposta (âmbar) para destaque críticos.</w:t>
      </w:r>
    </w:p>
    <w:p w14:paraId="0F8D78B2" w14:textId="77777777" w:rsidR="00582E17" w:rsidRDefault="00582E17">
      <w:pPr>
        <w:spacing w:before="240" w:after="240"/>
        <w:ind w:left="720"/>
        <w:rPr>
          <w:sz w:val="26"/>
          <w:szCs w:val="26"/>
        </w:rPr>
      </w:pPr>
    </w:p>
    <w:p w14:paraId="415C1044" w14:textId="77777777" w:rsidR="00582E17" w:rsidRDefault="005216F5">
      <w:pPr>
        <w:numPr>
          <w:ilvl w:val="0"/>
          <w:numId w:val="1"/>
        </w:numPr>
        <w:spacing w:before="240" w:after="240"/>
        <w:rPr>
          <w:sz w:val="26"/>
          <w:szCs w:val="26"/>
        </w:rPr>
      </w:pPr>
      <w:r>
        <w:rPr>
          <w:b/>
          <w:bCs/>
          <w:sz w:val="26"/>
          <w:szCs w:val="26"/>
        </w:rPr>
        <w:t>Objetivo:</w:t>
      </w:r>
      <w:r>
        <w:rPr>
          <w:sz w:val="26"/>
          <w:szCs w:val="26"/>
        </w:rPr>
        <w:t xml:space="preserve"> O uso das cores roxas e do acento âmbar tem como meta principal eliminar a confusão visual das planilhas, separando c</w:t>
      </w:r>
      <w:r>
        <w:rPr>
          <w:sz w:val="26"/>
          <w:szCs w:val="26"/>
        </w:rPr>
        <w:t>laramente o que é suporte, o que é dado e o que é ação.</w:t>
      </w:r>
    </w:p>
    <w:p w14:paraId="03E8E51C" w14:textId="77777777" w:rsidR="00582E17" w:rsidRDefault="005216F5">
      <w:pPr>
        <w:spacing w:before="240" w:after="240"/>
        <w:rPr>
          <w:sz w:val="26"/>
          <w:szCs w:val="26"/>
        </w:rPr>
      </w:pPr>
      <w:r>
        <w:rPr>
          <w:sz w:val="26"/>
          <w:szCs w:val="26"/>
          <w:u w:val="single"/>
        </w:rPr>
        <w:t>Orientação por Contraste:</w:t>
      </w:r>
      <w:r>
        <w:rPr>
          <w:sz w:val="26"/>
          <w:szCs w:val="26"/>
        </w:rPr>
        <w:t xml:space="preserve"> O esquema usa tons escuros para a "moldura" do sistema (menus e cabeçalhos) e tons claros para a "área de trabalho" (conteúdo central), focando a atenção do vendedor onde a v</w:t>
      </w:r>
      <w:r>
        <w:rPr>
          <w:sz w:val="26"/>
          <w:szCs w:val="26"/>
        </w:rPr>
        <w:t>enda realmente acontece;</w:t>
      </w:r>
    </w:p>
    <w:p w14:paraId="18AA25F0" w14:textId="77777777" w:rsidR="00582E17" w:rsidRDefault="005216F5">
      <w:pPr>
        <w:spacing w:before="240" w:after="240"/>
        <w:rPr>
          <w:sz w:val="26"/>
          <w:szCs w:val="26"/>
        </w:rPr>
      </w:pPr>
      <w:r>
        <w:rPr>
          <w:sz w:val="26"/>
          <w:szCs w:val="26"/>
          <w:u w:val="single"/>
        </w:rPr>
        <w:t xml:space="preserve">Identificação Instantânea de Variantes: </w:t>
      </w:r>
      <w:r>
        <w:rPr>
          <w:sz w:val="26"/>
          <w:szCs w:val="26"/>
        </w:rPr>
        <w:t>Através do uso de tons médios (lilás), o esquema agrupa visualmente as variantes de cor e tamanho, permitindo que o lojista bata o olho e saiba exatamente o que há no estoque sem precisar ler</w:t>
      </w:r>
      <w:r>
        <w:rPr>
          <w:sz w:val="26"/>
          <w:szCs w:val="26"/>
        </w:rPr>
        <w:t xml:space="preserve"> cada linha de texto;</w:t>
      </w:r>
    </w:p>
    <w:p w14:paraId="527E1598" w14:textId="77777777" w:rsidR="00582E17" w:rsidRDefault="005216F5">
      <w:pPr>
        <w:spacing w:before="240" w:after="240"/>
        <w:rPr>
          <w:sz w:val="26"/>
          <w:szCs w:val="26"/>
        </w:rPr>
      </w:pPr>
      <w:r>
        <w:rPr>
          <w:sz w:val="26"/>
          <w:szCs w:val="26"/>
          <w:u w:val="single"/>
        </w:rPr>
        <w:t xml:space="preserve">Gestão de Prioridades e Alertas: </w:t>
      </w:r>
      <w:r>
        <w:rPr>
          <w:sz w:val="26"/>
          <w:szCs w:val="26"/>
        </w:rPr>
        <w:t>A forma de uso da cor de acento (âmbar) é restrita a eventos que exigem interrupção, como o estoque baixo ou erro na venda, garantindo que o lojista não ignore avisos críticos no meio da pressa do balc</w:t>
      </w:r>
      <w:r>
        <w:rPr>
          <w:sz w:val="26"/>
          <w:szCs w:val="26"/>
        </w:rPr>
        <w:t>ão;</w:t>
      </w:r>
    </w:p>
    <w:p w14:paraId="4A0F44E8" w14:textId="77777777" w:rsidR="00582E17" w:rsidRDefault="005216F5">
      <w:pPr>
        <w:spacing w:before="240" w:after="240"/>
        <w:rPr>
          <w:sz w:val="26"/>
          <w:szCs w:val="26"/>
        </w:rPr>
      </w:pPr>
      <w:r>
        <w:rPr>
          <w:sz w:val="26"/>
          <w:szCs w:val="26"/>
          <w:u w:val="single"/>
        </w:rPr>
        <w:t>Agilidade e Redução de Cliques:</w:t>
      </w:r>
      <w:r>
        <w:rPr>
          <w:sz w:val="26"/>
          <w:szCs w:val="26"/>
        </w:rPr>
        <w:t xml:space="preserve"> O objetivo é que as cores guiem o usuário. Botões de "Finalizar Venda" em roxo vibrante reduzem o tempo de busca visual, permitindo que o vendedor complete o processo com rapidez;</w:t>
      </w:r>
    </w:p>
    <w:p w14:paraId="46D34635" w14:textId="77777777" w:rsidR="00582E17" w:rsidRDefault="005216F5">
      <w:pPr>
        <w:spacing w:before="240" w:after="240"/>
        <w:rPr>
          <w:sz w:val="26"/>
          <w:szCs w:val="26"/>
        </w:rPr>
      </w:pPr>
      <w:r>
        <w:rPr>
          <w:sz w:val="26"/>
          <w:szCs w:val="26"/>
          <w:u w:val="single"/>
        </w:rPr>
        <w:lastRenderedPageBreak/>
        <w:t>Consistência Profissional</w:t>
      </w:r>
      <w:r>
        <w:rPr>
          <w:b/>
          <w:bCs/>
          <w:sz w:val="26"/>
          <w:szCs w:val="26"/>
        </w:rPr>
        <w:t>:</w:t>
      </w:r>
      <w:r>
        <w:rPr>
          <w:sz w:val="26"/>
          <w:szCs w:val="26"/>
        </w:rPr>
        <w:t xml:space="preserve"> Ao manter uma</w:t>
      </w:r>
      <w:r>
        <w:rPr>
          <w:sz w:val="26"/>
          <w:szCs w:val="26"/>
        </w:rPr>
        <w:t xml:space="preserve"> paleta monocromática, o esquema garante que o sistema mantenha uma aparência organizada mesmo quando houver muitos produtos diferentes cadastrados, transmitindo confiança.</w:t>
      </w:r>
    </w:p>
    <w:p w14:paraId="3239357F" w14:textId="77777777" w:rsidR="00582E17" w:rsidRDefault="00582E17">
      <w:pPr>
        <w:spacing w:before="240" w:after="240"/>
        <w:rPr>
          <w:sz w:val="26"/>
          <w:szCs w:val="26"/>
        </w:rPr>
      </w:pPr>
    </w:p>
    <w:p w14:paraId="57C62599" w14:textId="77777777" w:rsidR="00582E17" w:rsidRDefault="005216F5">
      <w:pPr>
        <w:spacing w:before="240" w:after="240"/>
        <w:rPr>
          <w:b/>
          <w:bCs/>
        </w:rPr>
      </w:pPr>
      <w:r>
        <w:rPr>
          <w:b/>
          <w:bCs/>
          <w:sz w:val="26"/>
          <w:szCs w:val="26"/>
        </w:rPr>
        <w:t>Paleta de Cores</w:t>
      </w:r>
    </w:p>
    <w:tbl>
      <w:tblPr>
        <w:tblStyle w:val="a"/>
        <w:tblW w:w="946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5"/>
        <w:gridCol w:w="7110"/>
      </w:tblGrid>
      <w:tr w:rsidR="00582E17" w14:paraId="57DC3194" w14:textId="77777777">
        <w:trPr>
          <w:trHeight w:val="81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D3DF7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Código RGB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F0F57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Possíveis Usos da Cor no Sistema</w:t>
            </w:r>
          </w:p>
        </w:tc>
      </w:tr>
      <w:tr w:rsidR="00582E17" w14:paraId="724FD810" w14:textId="77777777">
        <w:trPr>
          <w:trHeight w:val="114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6E4B7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(206, 204, 225)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1142D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 Ambiente:</w:t>
            </w:r>
            <w:r>
              <w:rPr>
                <w:sz w:val="26"/>
                <w:szCs w:val="26"/>
              </w:rPr>
              <w:t xml:space="preserve"> Cor de fundo principal das telas. Garante que a interface seja "simples e bonita", destacando o texto e as roupas cadastradas.</w:t>
            </w:r>
          </w:p>
        </w:tc>
      </w:tr>
      <w:tr w:rsidR="00582E17" w14:paraId="7BEFAD54" w14:textId="77777777">
        <w:trPr>
          <w:trHeight w:val="114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0D638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(137, 132, 182)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C71EA7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Organização:</w:t>
            </w:r>
            <w:r>
              <w:rPr>
                <w:sz w:val="26"/>
                <w:szCs w:val="26"/>
              </w:rPr>
              <w:t xml:space="preserve"> Ideal para cards de produtos e fundos de campos de busca, ajudando a se</w:t>
            </w:r>
            <w:r>
              <w:rPr>
                <w:sz w:val="26"/>
                <w:szCs w:val="26"/>
              </w:rPr>
              <w:t>parar visualmente as variantes de cor e tamanho.</w:t>
            </w:r>
          </w:p>
        </w:tc>
      </w:tr>
      <w:tr w:rsidR="00582E17" w14:paraId="75F427C0" w14:textId="77777777">
        <w:trPr>
          <w:trHeight w:val="114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9665A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(84, 78, 139)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3867D6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Interação:</w:t>
            </w:r>
            <w:r>
              <w:rPr>
                <w:sz w:val="26"/>
                <w:szCs w:val="26"/>
              </w:rPr>
              <w:t xml:space="preserve"> Usada para estados de botões (como quando o mouse passa por cima) ou para ícones secundários de navegação.</w:t>
            </w:r>
          </w:p>
        </w:tc>
      </w:tr>
      <w:tr w:rsidR="00582E17" w14:paraId="531965A7" w14:textId="77777777">
        <w:trPr>
          <w:trHeight w:val="114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5D4A1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(44, 38, 97)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B0346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Ação Principal:</w:t>
            </w:r>
            <w:r>
              <w:rPr>
                <w:sz w:val="26"/>
                <w:szCs w:val="26"/>
              </w:rPr>
              <w:t xml:space="preserve"> Cor dos botões de "Finalizar Venda" ou "Confirmar Cadastro". É o tom que chama o vendedor para concluir a tarefa com agilidade.</w:t>
            </w:r>
          </w:p>
        </w:tc>
      </w:tr>
      <w:tr w:rsidR="00582E17" w14:paraId="776943A0" w14:textId="77777777">
        <w:trPr>
          <w:trHeight w:val="114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D8D9D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(16, 12, 54)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E809F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Estrutura:</w:t>
            </w:r>
            <w:r>
              <w:rPr>
                <w:sz w:val="26"/>
                <w:szCs w:val="26"/>
              </w:rPr>
              <w:t xml:space="preserve"> Cabeçalhos e menus laterais. Representa o banco de dados robusto e a segurança que o sistema oferece c</w:t>
            </w:r>
            <w:r>
              <w:rPr>
                <w:sz w:val="26"/>
                <w:szCs w:val="26"/>
              </w:rPr>
              <w:t>ontra erros.</w:t>
            </w:r>
          </w:p>
        </w:tc>
      </w:tr>
      <w:tr w:rsidR="00582E17" w14:paraId="5CB6D4FB" w14:textId="77777777">
        <w:trPr>
          <w:trHeight w:val="1085"/>
        </w:trPr>
        <w:tc>
          <w:tcPr>
            <w:tcW w:w="23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58AC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(9, 3, 59)</w:t>
            </w:r>
          </w:p>
        </w:tc>
        <w:tc>
          <w:tcPr>
            <w:tcW w:w="71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DA8896" w14:textId="77777777" w:rsidR="00582E17" w:rsidRDefault="005216F5">
            <w:pPr>
              <w:spacing w:after="480"/>
              <w:rPr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Contraste Extremo:</w:t>
            </w:r>
            <w:r>
              <w:rPr>
                <w:sz w:val="26"/>
                <w:szCs w:val="26"/>
              </w:rPr>
              <w:t xml:space="preserve"> Textos principais e logotipos. Garante que as informações críticas de estoque e preços sejam lidas sem esforço.</w:t>
            </w:r>
          </w:p>
        </w:tc>
      </w:tr>
    </w:tbl>
    <w:p w14:paraId="6D159000" w14:textId="77777777" w:rsidR="00582E17" w:rsidRDefault="005216F5">
      <w:pPr>
        <w:spacing w:before="240" w:after="240"/>
        <w:rPr>
          <w:sz w:val="26"/>
          <w:szCs w:val="26"/>
        </w:rPr>
      </w:pPr>
      <w:r>
        <w:rPr>
          <w:noProof/>
          <w:sz w:val="26"/>
          <w:szCs w:val="26"/>
        </w:rPr>
        <w:lastRenderedPageBreak/>
        <w:drawing>
          <wp:inline distT="114300" distB="114300" distL="114300" distR="114300" wp14:anchorId="5C03641E" wp14:editId="0924CB50">
            <wp:extent cx="6162675" cy="5591175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5"/>
                    <a:srcRect t="-984" b="18482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5591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4242A3" w14:textId="77777777" w:rsidR="00582E17" w:rsidRDefault="005216F5" w:rsidP="005216F5">
      <w:pPr>
        <w:spacing w:before="240" w:after="240"/>
        <w:jc w:val="center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114300" distB="114300" distL="114300" distR="114300" wp14:anchorId="63986B91" wp14:editId="4C8C20E2">
            <wp:extent cx="4175760" cy="2682240"/>
            <wp:effectExtent l="0" t="0" r="0" b="381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6004" cy="2682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82E1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240B1D-7A64-4A86-8CDD-4ACDED413A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B240B8E-05D5-4ABD-855B-FBE24DE3D64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725E7"/>
    <w:multiLevelType w:val="multilevel"/>
    <w:tmpl w:val="AA2601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2E17"/>
    <w:rsid w:val="005216F5"/>
    <w:rsid w:val="00582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9E8D"/>
  <w15:docId w15:val="{19274E9B-D6A2-4D37-99E6-58B3554A4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408</Words>
  <Characters>2205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Fernanda Chen</cp:lastModifiedBy>
  <cp:revision>3</cp:revision>
  <dcterms:created xsi:type="dcterms:W3CDTF">2026-05-06T19:03:00Z</dcterms:created>
  <dcterms:modified xsi:type="dcterms:W3CDTF">2026-05-06T19:03:00Z</dcterms:modified>
</cp:coreProperties>
</file>