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after="200"/>
        <w:jc w:val="center"/>
      </w:pPr>
      <w:r>
        <w:rPr>
          <w:rFonts w:ascii="微软雅黑" w:hAnsi="微软雅黑" w:eastAsia="微软雅黑"/>
          <w:b/>
          <w:color w:val="1B222C"/>
          <w:sz w:val="68"/>
        </w:rPr>
        <w:t>数鉴 Agent</w:t>
      </w:r>
    </w:p>
    <w:p>
      <w:pPr>
        <w:spacing w:after="560"/>
        <w:jc w:val="center"/>
      </w:pPr>
      <w:r>
        <w:rPr>
          <w:rFonts w:ascii="微软雅黑" w:hAnsi="微软雅黑" w:eastAsia="微软雅黑"/>
          <w:b w:val="0"/>
          <w:color w:val="D96B1E"/>
          <w:sz w:val="30"/>
        </w:rPr>
        <w:t>让数据里的问题，有答案，有依据。</w:t>
      </w:r>
    </w:p>
    <w:p>
      <w:pPr>
        <w:spacing w:after="960"/>
        <w:jc w:val="center"/>
      </w:pPr>
      <w:r>
        <w:rPr>
          <w:rFonts w:ascii="微软雅黑" w:hAnsi="微软雅黑" w:eastAsia="微软雅黑"/>
          <w:b w:val="0"/>
          <w:color w:val="555F6D"/>
          <w:sz w:val="24"/>
        </w:rPr>
        <w:t>AI 数据分析与可视化 · 参赛作品介绍文档</w:t>
      </w:r>
    </w:p>
    <w:p>
      <w:pPr>
        <w:spacing w:after="80"/>
        <w:jc w:val="center"/>
      </w:pPr>
      <w:r>
        <w:rPr>
          <w:rFonts w:ascii="微软雅黑" w:hAnsi="微软雅黑" w:eastAsia="微软雅黑"/>
          <w:b w:val="0"/>
          <w:color w:val="555F6D"/>
          <w:sz w:val="20"/>
        </w:rPr>
        <w:t xml:space="preserve">参赛赛道　</w:t>
      </w:r>
      <w:r>
        <w:rPr>
          <w:rFonts w:ascii="微软雅黑" w:hAnsi="微软雅黑" w:eastAsia="微软雅黑"/>
          <w:b/>
          <w:color w:val="1B222C"/>
          <w:sz w:val="20"/>
        </w:rPr>
        <w:t>AI 数据分析与可视化（方向 8）</w:t>
      </w:r>
    </w:p>
    <w:p>
      <w:pPr>
        <w:spacing w:after="80"/>
        <w:jc w:val="center"/>
      </w:pPr>
      <w:r>
        <w:rPr>
          <w:rFonts w:ascii="微软雅黑" w:hAnsi="微软雅黑" w:eastAsia="微软雅黑"/>
          <w:b w:val="0"/>
          <w:color w:val="555F6D"/>
          <w:sz w:val="20"/>
        </w:rPr>
        <w:t xml:space="preserve">作品形态　</w:t>
      </w:r>
      <w:r>
        <w:rPr>
          <w:rFonts w:ascii="微软雅黑" w:hAnsi="微软雅黑" w:eastAsia="微软雅黑"/>
          <w:b/>
          <w:color w:val="1B222C"/>
          <w:sz w:val="20"/>
        </w:rPr>
        <w:t>本地优先、证据绑定的 AI 数据分析 Web 应用</w:t>
      </w:r>
    </w:p>
    <w:p>
      <w:pPr>
        <w:spacing w:after="80"/>
        <w:jc w:val="center"/>
      </w:pPr>
      <w:r>
        <w:rPr>
          <w:rFonts w:ascii="微软雅黑" w:hAnsi="微软雅黑" w:eastAsia="微软雅黑"/>
          <w:b w:val="0"/>
          <w:color w:val="555F6D"/>
          <w:sz w:val="20"/>
        </w:rPr>
        <w:t xml:space="preserve">在线体验　</w:t>
      </w:r>
      <w:r>
        <w:rPr>
          <w:rFonts w:ascii="微软雅黑" w:hAnsi="微软雅黑" w:eastAsia="微软雅黑"/>
          <w:b/>
          <w:color w:val="1B222C"/>
          <w:sz w:val="20"/>
        </w:rPr>
        <w:t>https://sui-ae9.pages.dev/</w:t>
      </w:r>
    </w:p>
    <w:p>
      <w:pPr>
        <w:spacing w:after="80"/>
        <w:jc w:val="center"/>
      </w:pPr>
      <w:r>
        <w:rPr>
          <w:rFonts w:ascii="微软雅黑" w:hAnsi="微软雅黑" w:eastAsia="微软雅黑"/>
          <w:b w:val="0"/>
          <w:color w:val="555F6D"/>
          <w:sz w:val="20"/>
        </w:rPr>
        <w:t xml:space="preserve">源码仓库　</w:t>
      </w:r>
      <w:r>
        <w:rPr>
          <w:rFonts w:ascii="微软雅黑" w:hAnsi="微软雅黑" w:eastAsia="微软雅黑"/>
          <w:b/>
          <w:color w:val="1B222C"/>
          <w:sz w:val="20"/>
        </w:rPr>
        <w:t>https://github.com/chenxuanmo123-ops/sui</w:t>
      </w:r>
    </w:p>
    <w:p>
      <w:pPr>
        <w:spacing w:after="80"/>
        <w:jc w:val="center"/>
      </w:pPr>
      <w:r>
        <w:rPr>
          <w:rFonts w:ascii="微软雅黑" w:hAnsi="微软雅黑" w:eastAsia="微软雅黑"/>
          <w:b w:val="0"/>
          <w:color w:val="555F6D"/>
          <w:sz w:val="20"/>
        </w:rPr>
        <w:t xml:space="preserve">文档版本　</w:t>
      </w:r>
      <w:r>
        <w:rPr>
          <w:rFonts w:ascii="微软雅黑" w:hAnsi="微软雅黑" w:eastAsia="微软雅黑"/>
          <w:b/>
          <w:color w:val="1B222C"/>
          <w:sz w:val="20"/>
        </w:rPr>
        <w:t>2026-10-31</w:t>
      </w:r>
    </w:p>
    <w:p>
      <w:r>
        <w:br w:type="page"/>
      </w:r>
    </w:p>
    <w:p>
      <w:pPr>
        <w:keepNext/>
        <w:spacing w:before="280" w:after="160"/>
        <w:pBdr>
          <w:bottom w:val="single" w:sz="10" w:space="3" w:color="D96B1E"/>
        </w:pBdr>
      </w:pPr>
      <w:r>
        <w:rPr>
          <w:rFonts w:ascii="微软雅黑" w:hAnsi="微软雅黑" w:eastAsia="微软雅黑"/>
          <w:b/>
          <w:color w:val="1B222C"/>
          <w:sz w:val="34"/>
        </w:rPr>
        <w:t>一、项目详情及使用方式</w:t>
      </w:r>
    </w:p>
    <w:p>
      <w:pPr>
        <w:keepNext/>
        <w:spacing w:before="200" w:after="80"/>
      </w:pPr>
      <w:r>
        <w:rPr>
          <w:rFonts w:ascii="微软雅黑" w:hAnsi="微软雅黑" w:eastAsia="微软雅黑"/>
          <w:b/>
          <w:color w:val="1B222C"/>
          <w:sz w:val="25"/>
        </w:rPr>
        <w:t>1.1 项目是什么</w:t>
      </w:r>
    </w:p>
    <w:p>
      <w:pPr>
        <w:ind w:firstLine="0"/>
      </w:pPr>
      <w:r>
        <w:rPr>
          <w:rFonts w:ascii="微软雅黑" w:hAnsi="微软雅黑" w:eastAsia="微软雅黑"/>
          <w:sz w:val="21"/>
        </w:rPr>
        <w:t>数鉴 Agent 是一个面向真实文件的 AI 数据分析与可视化 Web 应用。用户上传 CSV、Excel 或 PDF，用自然语言提出分析问题；AI 把问题翻译成一份可核对的分析计划；用户确认口径后，应用在浏览器内置的 SQLite 中执行真实 SQL，输出图表、结果表、来源记录与实际执行的 SQL。</w:t>
      </w:r>
    </w:p>
    <w:p>
      <w:pPr>
        <w:ind w:firstLine="0"/>
      </w:pPr>
      <w:r>
        <w:rPr>
          <w:rFonts w:ascii="微软雅黑" w:hAnsi="微软雅黑" w:eastAsia="微软雅黑"/>
          <w:sz w:val="21"/>
        </w:rPr>
        <w:t>核心分工是明确的：</w:t>
      </w:r>
      <w:r>
        <w:rPr>
          <w:rFonts w:ascii="微软雅黑" w:hAnsi="微软雅黑" w:eastAsia="微软雅黑"/>
          <w:b/>
          <w:sz w:val="21"/>
        </w:rPr>
        <w:t>模型负责理解问题、规划口径和解释已经算出的结果，不负责产生数字</w:t>
      </w:r>
      <w:r>
        <w:rPr>
          <w:rFonts w:ascii="微软雅黑" w:hAnsi="微软雅黑" w:eastAsia="微软雅黑"/>
          <w:sz w:val="21"/>
        </w:rPr>
        <w:t>。页面上的每个数字都来自本地 SQL 计算，并可回查到原始记录与快照指纹。</w:t>
      </w:r>
    </w:p>
    <w:p>
      <w:pPr>
        <w:spacing w:before="40"/>
        <w:ind w:left="259"/>
      </w:pPr>
      <w:r>
        <w:rPr>
          <w:rFonts w:ascii="微软雅黑" w:hAnsi="微软雅黑" w:eastAsia="微软雅黑"/>
          <w:color w:val="555F6D"/>
          <w:sz w:val="19"/>
        </w:rPr>
        <w:t>一句话边界：样本不等于总体，描述性统计不写成因果结论，模型只解释已验证的事实。</w:t>
      </w:r>
    </w:p>
    <w:p>
      <w:pPr>
        <w:keepNext/>
        <w:spacing w:before="200" w:after="80"/>
      </w:pPr>
      <w:r>
        <w:rPr>
          <w:rFonts w:ascii="微软雅黑" w:hAnsi="微软雅黑" w:eastAsia="微软雅黑"/>
          <w:b/>
          <w:color w:val="1B222C"/>
          <w:sz w:val="25"/>
        </w:rPr>
        <w:t>1.2 使用方式（公网版，约 3 分钟）</w:t>
      </w:r>
    </w:p>
    <w:p>
      <w:pPr>
        <w:pStyle w:val="ListNumber"/>
        <w:spacing w:after="60"/>
      </w:pPr>
      <w:r>
        <w:rPr>
          <w:rFonts w:ascii="微软雅黑" w:hAnsi="微软雅黑" w:eastAsia="微软雅黑"/>
          <w:sz w:val="21"/>
        </w:rPr>
        <w:t>打开 https://sui-ae9.pages.dev/ 。页面右上角显示模型连接状态；未配置模型时，本地分析、SQL 控制台与确定性解读仍可使用。</w:t>
      </w:r>
    </w:p>
    <w:p>
      <w:pPr>
        <w:pStyle w:val="ListNumber"/>
        <w:spacing w:after="60"/>
      </w:pPr>
      <w:r>
        <w:rPr>
          <w:rFonts w:ascii="微软雅黑" w:hAnsi="微软雅黑" w:eastAsia="微软雅黑"/>
          <w:sz w:val="21"/>
        </w:rPr>
        <w:t>点击「载入随应用附带的真实示例（UCI 骑行日数据）」，或上传自己的 CSV / XLSX / XLS / PDF。示例为公开数据集 day.csv：731 行、16 列、2011-01-01 至 2012-12-31，载入时核对 SHA-256。</w:t>
      </w:r>
    </w:p>
    <w:p>
      <w:pPr>
        <w:pStyle w:val="ListNumber"/>
        <w:spacing w:after="60"/>
      </w:pPr>
      <w:r>
        <w:rPr>
          <w:rFonts w:ascii="微软雅黑" w:hAnsi="微软雅黑" w:eastAsia="微软雅黑"/>
          <w:sz w:val="21"/>
        </w:rPr>
        <w:t>阅读数据体检：字段角色、完整度、重复候选，以及可直接执行的问题建议。</w:t>
      </w:r>
    </w:p>
    <w:p>
      <w:pPr>
        <w:pStyle w:val="ListNumber"/>
        <w:spacing w:after="60"/>
      </w:pPr>
      <w:r>
        <w:rPr>
          <w:rFonts w:ascii="微软雅黑" w:hAnsi="微软雅黑" w:eastAsia="微软雅黑"/>
          <w:sz w:val="21"/>
        </w:rPr>
        <w:t>在「从这份数据中，你想了解什么？」输入问题，例如「各天气类型的租车总次数占比是多少？」，点击「与 AI 一起分析」。</w:t>
      </w:r>
    </w:p>
    <w:p>
      <w:pPr>
        <w:pStyle w:val="ListNumber"/>
        <w:spacing w:after="60"/>
      </w:pPr>
      <w:r>
        <w:rPr>
          <w:rFonts w:ascii="微软雅黑" w:hAnsi="微软雅黑" w:eastAsia="微软雅黑"/>
          <w:sz w:val="21"/>
        </w:rPr>
        <w:t>核对 AI 给出的计划：任务类型、分组字段、指标字段、聚合方式、筛选条件与待确认口径。确认后勾选「允许按此计划计算」并点击「确认计划并计算」。</w:t>
      </w:r>
    </w:p>
    <w:p>
      <w:pPr>
        <w:pStyle w:val="ListNumber"/>
        <w:spacing w:after="60"/>
      </w:pPr>
      <w:r>
        <w:rPr>
          <w:rFonts w:ascii="微软雅黑" w:hAnsi="微软雅黑" w:eastAsia="微软雅黑"/>
          <w:sz w:val="21"/>
        </w:rPr>
        <w:t>查看结果：饼图、结果表、实际执行的只读 SQL、参数与来源记录；可切换图表类型、换维度对照、追问，或导出结果 CSV、SVG、HTML 证据报告与可复现 SQL 包。</w:t>
      </w:r>
    </w:p>
    <w:p>
      <w:pPr>
        <w:pStyle w:val="ListNumber"/>
        <w:spacing w:after="60"/>
      </w:pPr>
      <w:r>
        <w:rPr>
          <w:rFonts w:ascii="微软雅黑" w:hAnsi="微软雅黑" w:eastAsia="微软雅黑"/>
          <w:sz w:val="21"/>
        </w:rPr>
        <w:t>在结果页点击「就此结果追问 AI」，可携带本轮真实结果继续追问（最多四轮）。</w:t>
      </w:r>
    </w:p>
    <w:p>
      <w:pPr>
        <w:ind w:firstLine="0"/>
      </w:pPr>
      <w:r>
        <w:rPr>
          <w:rFonts w:ascii="微软雅黑" w:hAnsi="微软雅黑" w:eastAsia="微软雅黑"/>
          <w:sz w:val="21"/>
        </w:rPr>
        <w:t>也可以完全不使用 AI：在「探索分析」「对比诊断」「SQL 查询」中手动选择字段与聚合，得到同样的本地计算与证据链。</w:t>
      </w:r>
    </w:p>
    <w:p>
      <w:pPr>
        <w:ind w:firstLine="0"/>
      </w:pPr>
      <w:r>
        <w:rPr>
          <w:rFonts w:ascii="微软雅黑" w:hAnsi="微软雅黑" w:eastAsia="微软雅黑"/>
          <w:sz w:val="21"/>
        </w:rPr>
        <w:t xml:space="preserve">本地运行（可选）：需要 Node.js 24.x，执行 </w:t>
      </w:r>
      <w:r>
        <w:rPr>
          <w:rFonts w:ascii="Consolas" w:hAnsi="Consolas" w:eastAsia="微软雅黑"/>
          <w:color w:val="2C3E50"/>
          <w:sz w:val="20"/>
        </w:rPr>
        <w:t>npm install</w:t>
      </w:r>
      <w:r>
        <w:rPr>
          <w:rFonts w:ascii="微软雅黑" w:hAnsi="微软雅黑" w:eastAsia="微软雅黑"/>
          <w:sz w:val="21"/>
        </w:rPr>
        <w:t xml:space="preserve"> 与 </w:t>
      </w:r>
      <w:r>
        <w:rPr>
          <w:rFonts w:ascii="Consolas" w:hAnsi="Consolas" w:eastAsia="微软雅黑"/>
          <w:color w:val="2C3E50"/>
          <w:sz w:val="20"/>
        </w:rPr>
        <w:t>npm run dev</w:t>
      </w:r>
      <w:r>
        <w:rPr>
          <w:rFonts w:ascii="微软雅黑" w:hAnsi="微软雅黑" w:eastAsia="微软雅黑"/>
          <w:sz w:val="21"/>
        </w:rPr>
        <w:t>。模型通过 OpenAI 兼容接口接入，密钥只写在服务端或云平台环境变量，不进入浏览器存储与仓库；不配置密钥时，本地分析与确定性解读仍然可用。</w:t>
      </w:r>
    </w:p>
    <w:p>
      <w:pPr>
        <w:keepNext/>
        <w:spacing w:before="280" w:after="160"/>
        <w:pBdr>
          <w:bottom w:val="single" w:sz="10" w:space="3" w:color="D96B1E"/>
        </w:pBdr>
      </w:pPr>
      <w:r>
        <w:rPr>
          <w:rFonts w:ascii="微软雅黑" w:hAnsi="微软雅黑" w:eastAsia="微软雅黑"/>
          <w:b/>
          <w:color w:val="1B222C"/>
          <w:sz w:val="34"/>
        </w:rPr>
        <w:t>二、项目亮点</w:t>
      </w:r>
    </w:p>
    <w:p>
      <w:pPr>
        <w:keepNext/>
        <w:spacing w:before="200" w:after="80"/>
      </w:pPr>
      <w:r>
        <w:rPr>
          <w:rFonts w:ascii="微软雅黑" w:hAnsi="微软雅黑" w:eastAsia="微软雅黑"/>
          <w:b/>
          <w:color w:val="1B222C"/>
          <w:sz w:val="25"/>
        </w:rPr>
        <w:t>2.1 计划、校验、执行、复核四段式，从架构上消除“模型编数字”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1"/>
        </w:rPr>
        <w:t>模型只输出受契约约束的结构化计划，不输出任何计算结果；服务端校验字段存在性、聚合白名单、筛选配对与越权字段，前端再次校验后才执行。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1"/>
        </w:rPr>
        <w:t>SQL 由固定模板编译，只读、参数化，不接受模型自由拼接；控制台层拒绝写操作、DDL、PRAGMA、事务与多语句，Worker 侧以 query_only 兜底。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1"/>
        </w:rPr>
        <w:t>结果产生后才请求模型做「结合证据的解读」；解读必须逐条引用事实编号，且禁止输出数字字符与因果措辞。</w:t>
      </w:r>
    </w:p>
    <w:p>
      <w:pPr>
        <w:keepNext/>
        <w:spacing w:before="200" w:after="80"/>
      </w:pPr>
      <w:r>
        <w:rPr>
          <w:rFonts w:ascii="微软雅黑" w:hAnsi="微软雅黑" w:eastAsia="微软雅黑"/>
          <w:b/>
          <w:color w:val="1B222C"/>
          <w:sz w:val="25"/>
        </w:rPr>
        <w:t>2.2 每个数字都能回查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1"/>
        </w:rPr>
        <w:t>结果表逐行可展开来源记录；页面同时展示真实执行的 SQL 与参数，以及绑定本次计算的快照指纹。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1"/>
        </w:rPr>
        <w:t>导出的 HTML 证据报告包含快照指纹、SQL、参数、结果到来源记录的映射，可离线核查。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1"/>
        </w:rPr>
        <w:t>可复现 SQL 包包含清洗后 CSV、schema.sql、analysis.sql、expected.json 与本地 Python 复跑脚本，脱离本产品也能复算并输出 PASS/FAIL。</w:t>
      </w:r>
    </w:p>
    <w:p>
      <w:pPr>
        <w:keepNext/>
        <w:spacing w:before="200" w:after="80"/>
      </w:pPr>
      <w:r>
        <w:rPr>
          <w:rFonts w:ascii="微软雅黑" w:hAnsi="微软雅黑" w:eastAsia="微软雅黑"/>
          <w:b/>
          <w:color w:val="1B222C"/>
          <w:sz w:val="25"/>
        </w:rPr>
        <w:t>2.3 本地优先，原始行不出浏览器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1"/>
        </w:rPr>
        <w:t>文件解析、清洗、计算都在浏览器内完成（sql.js + Web Worker），工作区保存在 IndexedDB。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1"/>
        </w:rPr>
        <w:t>发送给模型的只有字段名、类型、少量统计摘要、用户问题与可选资料摘录，不发送原始数据行。</w:t>
      </w:r>
    </w:p>
    <w:p>
      <w:pPr>
        <w:keepNext/>
        <w:spacing w:before="200" w:after="80"/>
      </w:pPr>
      <w:r>
        <w:rPr>
          <w:rFonts w:ascii="微软雅黑" w:hAnsi="微软雅黑" w:eastAsia="微软雅黑"/>
          <w:b/>
          <w:color w:val="1B222C"/>
          <w:sz w:val="25"/>
        </w:rPr>
        <w:t>2.4 诚实的分析边界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1"/>
        </w:rPr>
        <w:t>饼图只接受「求和 / 记录数」这类可加总口径；均值、中位数、分位数会被运行期拒绝，负值或全零分组拒绝绘制。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1"/>
        </w:rPr>
        <w:t>热力图缺失组合留空，不按 0 补齐；占比只代表当前筛选范围，不写成市场份额或总体构成。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1"/>
        </w:rPr>
        <w:t>趋势只给描述性「平均每期变化」与 R²，不冒充预测或显著性检验；相关只给 Pearson r，不写成因果结论。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1"/>
        </w:rPr>
        <w:t>图表分包加载失败时显示明确的可恢复提示，结果表、SQL 与来源记录不受影响，不静默卡死。</w:t>
      </w:r>
    </w:p>
    <w:p>
      <w:pPr>
        <w:keepNext/>
        <w:spacing w:before="200" w:after="80"/>
      </w:pPr>
      <w:r>
        <w:rPr>
          <w:rFonts w:ascii="微软雅黑" w:hAnsi="微软雅黑" w:eastAsia="微软雅黑"/>
          <w:b/>
          <w:color w:val="1B222C"/>
          <w:sz w:val="25"/>
        </w:rPr>
        <w:t>2.5 先解释、再看图的交互</w:t>
      </w:r>
    </w:p>
    <w:p>
      <w:pPr>
        <w:ind w:firstLine="0"/>
      </w:pPr>
      <w:r>
        <w:rPr>
          <w:rFonts w:ascii="微软雅黑" w:hAnsi="微软雅黑" w:eastAsia="微软雅黑"/>
          <w:sz w:val="21"/>
        </w:rPr>
        <w:t>结果页第一屏先回答问题「这组数据意味着什么、可能拿来做什么、还缺什么、不能得出什么」，图表退到证据位置。这段解读由真实结果规则确定性生成，不调用模型；AI 只在此基础上补充带事实编号的可能含义与用途。</w:t>
      </w:r>
    </w:p>
    <w:p>
      <w:pPr>
        <w:keepNext/>
        <w:spacing w:before="200" w:after="80"/>
      </w:pPr>
      <w:r>
        <w:rPr>
          <w:rFonts w:ascii="微软雅黑" w:hAnsi="微软雅黑" w:eastAsia="微软雅黑"/>
          <w:b/>
          <w:color w:val="1B222C"/>
          <w:sz w:val="25"/>
        </w:rPr>
        <w:t>2.6 图表、资料检索与多轮追问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1"/>
        </w:rPr>
        <w:t>折线、柱状、散点（含 Pearson r）、热力图、饼图、结果表六种视图绑定同一份快照，图形与明细联动。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1"/>
        </w:rPr>
        <w:t>支持 PDF / TXT / Markdown 本地资料检索：按页切分，中文二元组加英文词的 BM25 词法检索，最多发送四段摘录，引用以 R-x 编号校验。需要说明的是，这是词法检索，不是向量语义检索。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1"/>
        </w:rPr>
        <w:t>已完成轮次可作为上下文继续追问（最多四轮）；历史数字只作上下文，不作为新证据。</w:t>
      </w:r>
    </w:p>
    <w:p>
      <w:pPr>
        <w:keepNext/>
        <w:spacing w:before="200" w:after="80"/>
      </w:pPr>
      <w:r>
        <w:rPr>
          <w:rFonts w:ascii="微软雅黑" w:hAnsi="微软雅黑" w:eastAsia="微软雅黑"/>
          <w:b/>
          <w:color w:val="1B222C"/>
          <w:sz w:val="25"/>
        </w:rPr>
        <w:t>2.7 可插拔模型与双部署</w:t>
      </w:r>
    </w:p>
    <w:p>
      <w:pPr>
        <w:ind w:firstLine="0"/>
      </w:pPr>
      <w:r>
        <w:rPr>
          <w:rFonts w:ascii="微软雅黑" w:hAnsi="微软雅黑" w:eastAsia="微软雅黑"/>
          <w:sz w:val="21"/>
        </w:rPr>
        <w:t>支持任意 OpenAI 兼容模型并按 providerId 配置；Node 服务与 Cloudflare Pages Functions 共用同一套契约校验、证据绑定、拒绝规则与限流逻辑，公网版本已通过自动验收脚本的 7 项检查。</w:t>
      </w:r>
    </w:p>
    <w:p>
      <w:pPr>
        <w:keepNext/>
        <w:spacing w:before="280" w:after="160"/>
        <w:pBdr>
          <w:bottom w:val="single" w:sz="10" w:space="3" w:color="D96B1E"/>
        </w:pBdr>
      </w:pPr>
      <w:r>
        <w:rPr>
          <w:rFonts w:ascii="微软雅黑" w:hAnsi="微软雅黑" w:eastAsia="微软雅黑"/>
          <w:b/>
          <w:color w:val="1B222C"/>
          <w:sz w:val="34"/>
        </w:rPr>
        <w:t>三、AI 测试技术落地使用情况概述</w:t>
      </w:r>
    </w:p>
    <w:p>
      <w:pPr>
        <w:ind w:firstLine="0"/>
      </w:pPr>
      <w:r>
        <w:rPr>
          <w:rFonts w:ascii="微软雅黑" w:hAnsi="微软雅黑" w:eastAsia="微软雅黑"/>
          <w:sz w:val="21"/>
        </w:rPr>
        <w:t>本项目把「AI 能力如何被验证」当成产品的一部分：既测试模型接口的可控性，也用真实数据评估计划质量，并明确区分「代码路径通过」与「业务结论正确」。</w:t>
      </w:r>
    </w:p>
    <w:p>
      <w:pPr>
        <w:keepNext/>
        <w:spacing w:before="200" w:after="80"/>
      </w:pPr>
      <w:r>
        <w:rPr>
          <w:rFonts w:ascii="微软雅黑" w:hAnsi="微软雅黑" w:eastAsia="微软雅黑"/>
          <w:b/>
          <w:color w:val="1B222C"/>
          <w:sz w:val="25"/>
        </w:rPr>
        <w:t>3.1 分层测试体系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168"/>
        <w:gridCol w:w="3168"/>
        <w:gridCol w:w="3168"/>
      </w:tblGrid>
      <w:tr>
        <w:trPr>
          <w:tblHeader w:val="true"/>
          <w:cantSplit w:val="true"/>
        </w:trPr>
        <w:tc>
          <w:tcPr>
            <w:tcW w:type="dxa" w:w="1656"/>
            <w:shd w:val="clear" w:color="auto" w:fill="3A4654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层级</w:t>
            </w:r>
          </w:p>
        </w:tc>
        <w:tc>
          <w:tcPr>
            <w:tcW w:type="dxa" w:w="2232"/>
            <w:shd w:val="clear" w:color="auto" w:fill="3A4654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规模（提交前最后一次回归）</w:t>
            </w:r>
          </w:p>
        </w:tc>
        <w:tc>
          <w:tcPr>
            <w:tcW w:type="dxa" w:w="5040"/>
            <w:shd w:val="clear" w:color="auto" w:fill="3A4654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覆盖内容</w:t>
            </w:r>
          </w:p>
        </w:tc>
      </w:tr>
      <w:tr>
        <w:trPr>
          <w:cantSplit w:val="true"/>
        </w:trPr>
        <w:tc>
          <w:tcPr>
            <w:tcW w:type="dxa" w:w="165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AI 接口与安全</w:t>
            </w:r>
          </w:p>
        </w:tc>
        <w:tc>
          <w:tcPr>
            <w:tcW w:type="dxa" w:w="223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39 项通过</w:t>
            </w:r>
          </w:p>
        </w:tc>
        <w:tc>
          <w:tcPr>
            <w:tcW w:type="dxa" w:w="504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计划 schema、字段与聚合白名单、越权字段、筛选配对、饼图口径、提示注入、限流、Pages 适配；HTTP 使用替身</w:t>
            </w:r>
          </w:p>
        </w:tc>
      </w:tr>
      <w:tr>
        <w:trPr>
          <w:cantSplit w:val="true"/>
        </w:trPr>
        <w:tc>
          <w:tcPr>
            <w:tcW w:type="dxa" w:w="165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核心计算与证据</w:t>
            </w:r>
          </w:p>
        </w:tc>
        <w:tc>
          <w:tcPr>
            <w:tcW w:type="dxa" w:w="223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224 项通过</w:t>
            </w:r>
          </w:p>
        </w:tc>
        <w:tc>
          <w:tcPr>
            <w:tcW w:type="dxa" w:w="504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真实 CSV 与真实 SQLite：聚合、比例、趋势、相关、分位数、分桶、截断、来源映射、复现包、SQL 控制台、参考资料检索</w:t>
            </w:r>
          </w:p>
        </w:tc>
      </w:tr>
      <w:tr>
        <w:trPr>
          <w:cantSplit w:val="true"/>
        </w:trPr>
        <w:tc>
          <w:tcPr>
            <w:tcW w:type="dxa" w:w="165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固定数据评测</w:t>
            </w:r>
          </w:p>
        </w:tc>
        <w:tc>
          <w:tcPr>
            <w:tcW w:type="dxa" w:w="223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14 项通过</w:t>
            </w:r>
          </w:p>
        </w:tc>
        <w:tc>
          <w:tcPr>
            <w:tcW w:type="dxa" w:w="504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OWID 能源、Apple SEC 10-K、Stack Overflow 事件三个真实公开数据案例；评测的是计算与契约，不据此宣称模型准确率</w:t>
            </w:r>
          </w:p>
        </w:tc>
      </w:tr>
      <w:tr>
        <w:trPr>
          <w:cantSplit w:val="true"/>
        </w:trPr>
        <w:tc>
          <w:tcPr>
            <w:tcW w:type="dxa" w:w="165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生产构建与服务</w:t>
            </w:r>
          </w:p>
        </w:tc>
        <w:tc>
          <w:tcPr>
            <w:tcW w:type="dxa" w:w="223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33 项通过</w:t>
            </w:r>
          </w:p>
        </w:tc>
        <w:tc>
          <w:tcPr>
            <w:tcW w:type="dxa" w:w="504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静态资源、健康检查、缓存、私有路径、SPA 回退与公网边界</w:t>
            </w:r>
          </w:p>
        </w:tc>
      </w:tr>
      <w:tr>
        <w:trPr>
          <w:cantSplit w:val="true"/>
        </w:trPr>
        <w:tc>
          <w:tcPr>
            <w:tcW w:type="dxa" w:w="165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浏览器端到端</w:t>
            </w:r>
          </w:p>
        </w:tc>
        <w:tc>
          <w:tcPr>
            <w:tcW w:type="dxa" w:w="223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多轮脚本</w:t>
            </w:r>
          </w:p>
        </w:tc>
        <w:tc>
          <w:tcPr>
            <w:tcW w:type="dxa" w:w="504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Playwright 驱动真实浏览器：载入示例、提问、核对计划、确认真实计算、图表/表格/SQL、追问、导出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微软雅黑" w:hAnsi="微软雅黑" w:eastAsia="微软雅黑"/>
          <w:b/>
          <w:color w:val="1B222C"/>
          <w:sz w:val="25"/>
        </w:rPr>
        <w:t>3.2 测试替身只留在测试里</w:t>
      </w:r>
    </w:p>
    <w:p>
      <w:pPr>
        <w:ind w:firstLine="0"/>
      </w:pPr>
      <w:r>
        <w:rPr>
          <w:rFonts w:ascii="微软雅黑" w:hAnsi="微软雅黑" w:eastAsia="微软雅黑"/>
          <w:sz w:val="21"/>
        </w:rPr>
        <w:t>自动化测试中仅对规划器与复核器做替身，以便确定性地断言失败路径；所有数字仍由真实 sql.js 计算。产品运行时不包含任何 mock、预置答案或演示回答。这是刻意设定的边界：</w:t>
      </w:r>
      <w:r>
        <w:rPr>
          <w:rFonts w:ascii="微软雅黑" w:hAnsi="微软雅黑" w:eastAsia="微软雅黑"/>
          <w:b/>
          <w:sz w:val="21"/>
        </w:rPr>
        <w:t>测试可以替身，产品不能。</w:t>
      </w:r>
    </w:p>
    <w:p>
      <w:pPr>
        <w:keepNext/>
        <w:spacing w:before="200" w:after="80"/>
      </w:pPr>
      <w:r>
        <w:rPr>
          <w:rFonts w:ascii="微软雅黑" w:hAnsi="微软雅黑" w:eastAsia="微软雅黑"/>
          <w:b/>
          <w:color w:val="1B222C"/>
          <w:sz w:val="25"/>
        </w:rPr>
        <w:t>3.3 计划质量评测，而不是“接口返回 200 就算通过”</w:t>
      </w:r>
    </w:p>
    <w:p>
      <w:pPr>
        <w:ind w:firstLine="0"/>
      </w:pPr>
      <w:r>
        <w:rPr>
          <w:rFonts w:ascii="Consolas" w:hAnsi="Consolas" w:eastAsia="微软雅黑"/>
          <w:color w:val="2C3E50"/>
          <w:sz w:val="20"/>
        </w:rPr>
        <w:t>tests/evaluation</w:t>
      </w:r>
      <w:r>
        <w:rPr>
          <w:rFonts w:ascii="微软雅黑" w:hAnsi="微软雅黑" w:eastAsia="微软雅黑"/>
          <w:sz w:val="21"/>
        </w:rPr>
        <w:t xml:space="preserve"> 把一次模型输出拆成五段检查：数据集哈希绑定、结构校验、执行（SQL 真的跑了）、计算（完整结果与来源记录匹配金标准）、语义（保留给人工评审）。绑定不匹配、只给澄清问题、或数字对不上，都不能判为通过。评测说明中明确写着：自动检查通过不等于模型理解了业务含义。</w:t>
      </w:r>
    </w:p>
    <w:p>
      <w:pPr>
        <w:keepNext/>
        <w:spacing w:before="200" w:after="80"/>
      </w:pPr>
      <w:r>
        <w:rPr>
          <w:rFonts w:ascii="微软雅黑" w:hAnsi="微软雅黑" w:eastAsia="微软雅黑"/>
          <w:b/>
          <w:color w:val="1B222C"/>
          <w:sz w:val="25"/>
        </w:rPr>
        <w:t>3.4 真实模型验收（2026-10-30）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1"/>
        </w:rPr>
        <w:t>公网真实模型直连：计划生成约 5–8 秒；饼图、热力图、散点、趋势、多轮追问五类问题的计划形状均符合预期。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1"/>
        </w:rPr>
        <w:t>浏览器整轮一：记录数占比饼图，weathersit 三组为 463 / 247 / 21，占比 63.3%，与独立复算一致。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1"/>
        </w:rPr>
        <w:t>浏览器整轮二：总次数占比为 2,257,952 / 996,858 / 37,869（68.6% / 30.3% / 1.2%）；追问「再按季节拆开看看」触发 2 个聚合任务与 2 个探索任务，解读逐条引用事实编号，并写明「引用有效不等于语义与因果已被证明」。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1"/>
        </w:rPr>
        <w:t>公网验收脚本 7/7 通过；390px 窄屏无横向溢出；服务端、核心、生产三组回归全部通过。</w:t>
      </w:r>
    </w:p>
    <w:p>
      <w:pPr>
        <w:keepNext/>
        <w:spacing w:before="200" w:after="80"/>
      </w:pPr>
      <w:r>
        <w:rPr>
          <w:rFonts w:ascii="微软雅黑" w:hAnsi="微软雅黑" w:eastAsia="微软雅黑"/>
          <w:b/>
          <w:color w:val="1B222C"/>
          <w:sz w:val="25"/>
        </w:rPr>
        <w:t>3.5 失败与降级也经过真实测试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1"/>
        </w:rPr>
        <w:t>模型服务不可用或额度不足时，接口返回明确错误，页面不生成假结果。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1"/>
        </w:rPr>
        <w:t>公网验收中发现图表分包被网络截断会导致加载静默挂起；已加入图表错误边界，提示刷新，且不影响已算出的表格、SQL 与证据。该缺陷是真实发现并修复的，而非演示脚本预设。</w:t>
      </w:r>
    </w:p>
    <w:p>
      <w:pPr>
        <w:keepNext/>
        <w:spacing w:before="280" w:after="160"/>
        <w:pBdr>
          <w:bottom w:val="single" w:sz="10" w:space="3" w:color="D96B1E"/>
        </w:pBdr>
      </w:pPr>
      <w:r>
        <w:rPr>
          <w:rFonts w:ascii="微软雅黑" w:hAnsi="微软雅黑" w:eastAsia="微软雅黑"/>
          <w:b/>
          <w:color w:val="1B222C"/>
          <w:sz w:val="34"/>
        </w:rPr>
        <w:t>四、关键技术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168"/>
        <w:gridCol w:w="3168"/>
        <w:gridCol w:w="3168"/>
      </w:tblGrid>
      <w:tr>
        <w:trPr>
          <w:tblHeader w:val="true"/>
          <w:cantSplit w:val="true"/>
        </w:trPr>
        <w:tc>
          <w:tcPr>
            <w:tcW w:type="dxa" w:w="1224"/>
            <w:shd w:val="clear" w:color="auto" w:fill="3A4654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层次</w:t>
            </w:r>
          </w:p>
        </w:tc>
        <w:tc>
          <w:tcPr>
            <w:tcW w:type="dxa" w:w="2808"/>
            <w:shd w:val="clear" w:color="auto" w:fill="3A4654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技术选型</w:t>
            </w:r>
          </w:p>
        </w:tc>
        <w:tc>
          <w:tcPr>
            <w:tcW w:type="dxa" w:w="4896"/>
            <w:shd w:val="clear" w:color="auto" w:fill="3A4654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在项目中的作用</w:t>
            </w:r>
          </w:p>
        </w:tc>
      </w:tr>
      <w:tr>
        <w:trPr>
          <w:cantSplit w:val="true"/>
        </w:trPr>
        <w:tc>
          <w:tcPr>
            <w:tcW w:type="dxa" w:w="122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前端</w:t>
            </w:r>
          </w:p>
        </w:tc>
        <w:tc>
          <w:tcPr>
            <w:tcW w:type="dxa" w:w="280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React 19、TypeScript、Vite</w:t>
            </w:r>
          </w:p>
        </w:tc>
        <w:tc>
          <w:tcPr>
            <w:tcW w:type="dxa" w:w="48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工作台、图表视图、结果卡、证据面板与响应式布局</w:t>
            </w:r>
          </w:p>
        </w:tc>
      </w:tr>
      <w:tr>
        <w:trPr>
          <w:cantSplit w:val="true"/>
        </w:trPr>
        <w:tc>
          <w:tcPr>
            <w:tcW w:type="dxa" w:w="122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计算</w:t>
            </w:r>
          </w:p>
        </w:tc>
        <w:tc>
          <w:tcPr>
            <w:tcW w:type="dxa" w:w="280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Web Worker + sql.js（SQLite / WASM）</w:t>
            </w:r>
          </w:p>
        </w:tc>
        <w:tc>
          <w:tcPr>
            <w:tcW w:type="dxa" w:w="48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在浏览器内执行真实只读 SQL，不依赖后端数据库</w:t>
            </w:r>
          </w:p>
        </w:tc>
      </w:tr>
      <w:tr>
        <w:trPr>
          <w:cantSplit w:val="true"/>
        </w:trPr>
        <w:tc>
          <w:tcPr>
            <w:tcW w:type="dxa" w:w="122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存储</w:t>
            </w:r>
          </w:p>
        </w:tc>
        <w:tc>
          <w:tcPr>
            <w:tcW w:type="dxa" w:w="280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IndexedDB</w:t>
            </w:r>
          </w:p>
        </w:tc>
        <w:tc>
          <w:tcPr>
            <w:tcW w:type="dxa" w:w="48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工作区、历史结果、分析分支与设置的本机保存</w:t>
            </w:r>
          </w:p>
        </w:tc>
      </w:tr>
      <w:tr>
        <w:trPr>
          <w:cantSplit w:val="true"/>
        </w:trPr>
        <w:tc>
          <w:tcPr>
            <w:tcW w:type="dxa" w:w="122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可视化</w:t>
            </w:r>
          </w:p>
        </w:tc>
        <w:tc>
          <w:tcPr>
            <w:tcW w:type="dxa" w:w="280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ECharts（按需分包）</w:t>
            </w:r>
          </w:p>
        </w:tc>
        <w:tc>
          <w:tcPr>
            <w:tcW w:type="dxa" w:w="48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折线、柱状、散点、热力图、饼图；分包失败由错误边界接管</w:t>
            </w:r>
          </w:p>
        </w:tc>
      </w:tr>
      <w:tr>
        <w:trPr>
          <w:cantSplit w:val="true"/>
        </w:trPr>
        <w:tc>
          <w:tcPr>
            <w:tcW w:type="dxa" w:w="122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文件解析</w:t>
            </w:r>
          </w:p>
        </w:tc>
        <w:tc>
          <w:tcPr>
            <w:tcW w:type="dxa" w:w="280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SheetJS、pdfjs-dist</w:t>
            </w:r>
          </w:p>
        </w:tc>
        <w:tc>
          <w:tcPr>
            <w:tcW w:type="dxa" w:w="48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CSV / XLSX / XLS 与 PDF 表格提取，导入前预览与核对</w:t>
            </w:r>
          </w:p>
        </w:tc>
      </w:tr>
      <w:tr>
        <w:trPr>
          <w:cantSplit w:val="true"/>
        </w:trPr>
        <w:tc>
          <w:tcPr>
            <w:tcW w:type="dxa" w:w="122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服务端</w:t>
            </w:r>
          </w:p>
        </w:tc>
        <w:tc>
          <w:tcPr>
            <w:tcW w:type="dxa" w:w="280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Node.js 24、Cloudflare Pages Functions</w:t>
            </w:r>
          </w:p>
        </w:tc>
        <w:tc>
          <w:tcPr>
            <w:tcW w:type="dxa" w:w="48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计划与解读接口、契约校验、限流；两种部署共用一套逻辑</w:t>
            </w:r>
          </w:p>
        </w:tc>
      </w:tr>
      <w:tr>
        <w:trPr>
          <w:cantSplit w:val="true"/>
        </w:trPr>
        <w:tc>
          <w:tcPr>
            <w:tcW w:type="dxa" w:w="122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测试</w:t>
            </w:r>
          </w:p>
        </w:tc>
        <w:tc>
          <w:tcPr>
            <w:tcW w:type="dxa" w:w="280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node:test、Vitest、Playwright</w:t>
            </w:r>
          </w:p>
        </w:tc>
        <w:tc>
          <w:tcPr>
            <w:tcW w:type="dxa" w:w="48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契约与计算单测、固定数据评测、浏览器端到端</w:t>
            </w:r>
          </w:p>
        </w:tc>
      </w:tr>
      <w:tr>
        <w:trPr>
          <w:cantSplit w:val="true"/>
        </w:trPr>
        <w:tc>
          <w:tcPr>
            <w:tcW w:type="dxa" w:w="122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交付</w:t>
            </w:r>
          </w:p>
        </w:tc>
        <w:tc>
          <w:tcPr>
            <w:tcW w:type="dxa" w:w="280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HTML 证据报告、可复现 SQL 包</w:t>
            </w:r>
          </w:p>
        </w:tc>
        <w:tc>
          <w:tcPr>
            <w:tcW w:type="dxa" w:w="48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结果、SQL、来源映射与本地复跑脚本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微软雅黑" w:hAnsi="微软雅黑" w:eastAsia="微软雅黑"/>
          <w:b/>
          <w:color w:val="1B222C"/>
          <w:sz w:val="25"/>
        </w:rPr>
        <w:t>4.1 快照与哈希</w:t>
      </w:r>
    </w:p>
    <w:p>
      <w:pPr>
        <w:ind w:firstLine="0"/>
      </w:pPr>
      <w:r>
        <w:rPr>
          <w:rFonts w:ascii="微软雅黑" w:hAnsi="微软雅黑" w:eastAsia="微软雅黑"/>
          <w:sz w:val="21"/>
        </w:rPr>
        <w:t>导入后生成数据快照并计算 SHA-256 指纹，所有结果、AI 轮次与导出物都绑定该指纹；换文件或重新解析后，旧结果不会被误认为属于新快照。示例数据在载入前核对逐字节哈希。</w:t>
      </w:r>
    </w:p>
    <w:p>
      <w:pPr>
        <w:keepNext/>
        <w:spacing w:before="200" w:after="80"/>
      </w:pPr>
      <w:r>
        <w:rPr>
          <w:rFonts w:ascii="微软雅黑" w:hAnsi="微软雅黑" w:eastAsia="微软雅黑"/>
          <w:b/>
          <w:color w:val="1B222C"/>
          <w:sz w:val="25"/>
        </w:rPr>
        <w:t>4.2 只读 SQL 编译与统计边界</w:t>
      </w:r>
    </w:p>
    <w:p>
      <w:pPr>
        <w:ind w:firstLine="0"/>
      </w:pPr>
      <w:r>
        <w:rPr>
          <w:rFonts w:ascii="微软雅黑" w:hAnsi="微软雅黑" w:eastAsia="微软雅黑"/>
          <w:sz w:val="21"/>
        </w:rPr>
        <w:t>探索与聚合任务由固定模板编译 SQL：字段名经过白名单映射，筛选值以参数绑定；分位数使用 SQLite 聚合实现；截断会显式标记。比例任务要求分子包含在分母集合中，分母为零显示「无法计算」而不是 0%。散点图只展示前 N 个点，但 Pearson r 使用全部有效配对，并在界面说明展示范围与计算范围的差异。</w:t>
      </w:r>
    </w:p>
    <w:p>
      <w:pPr>
        <w:keepNext/>
        <w:spacing w:before="200" w:after="80"/>
      </w:pPr>
      <w:r>
        <w:rPr>
          <w:rFonts w:ascii="微软雅黑" w:hAnsi="微软雅黑" w:eastAsia="微软雅黑"/>
          <w:b/>
          <w:color w:val="1B222C"/>
          <w:sz w:val="25"/>
        </w:rPr>
        <w:t>4.3 契约驱动的 AI 接口</w:t>
      </w:r>
    </w:p>
    <w:p>
      <w:pPr>
        <w:ind w:firstLine="0"/>
      </w:pPr>
      <w:r>
        <w:rPr>
          <w:rFonts w:ascii="Consolas" w:hAnsi="Consolas" w:eastAsia="微软雅黑"/>
          <w:color w:val="2C3E50"/>
          <w:sz w:val="20"/>
        </w:rPr>
        <w:t>server/contracts.mjs</w:t>
      </w:r>
      <w:r>
        <w:rPr>
          <w:rFonts w:ascii="微软雅黑" w:hAnsi="微软雅黑" w:eastAsia="微软雅黑"/>
          <w:sz w:val="21"/>
        </w:rPr>
        <w:t xml:space="preserve"> 提供 text / list / optional / object / choice 等组合子，统一错误格式为「&lt;字段路径&gt; 值无效」。计划先过 schema，再过领域校验（字段是否存在、聚合是否允许、筛选列与值是否配对、饼图口径是否可加总），任何一步失败都不会执行计算。</w:t>
      </w:r>
    </w:p>
    <w:p>
      <w:pPr>
        <w:keepNext/>
        <w:spacing w:before="200" w:after="80"/>
      </w:pPr>
      <w:r>
        <w:rPr>
          <w:rFonts w:ascii="微软雅黑" w:hAnsi="微软雅黑" w:eastAsia="微软雅黑"/>
          <w:b/>
          <w:color w:val="1B222C"/>
          <w:sz w:val="25"/>
        </w:rPr>
        <w:t>4.4 证据绑定与解读校验</w:t>
      </w:r>
    </w:p>
    <w:p>
      <w:pPr>
        <w:ind w:firstLine="0"/>
      </w:pPr>
      <w:r>
        <w:rPr>
          <w:rFonts w:ascii="微软雅黑" w:hAnsi="微软雅黑" w:eastAsia="微软雅黑"/>
          <w:sz w:val="21"/>
        </w:rPr>
        <w:t>计算产生带编号的事实集合；复核接口只接收事实摘要与编号，返回的每条陈述必须引用存在的事实编号，explore 类任务因不产生聚合事实而在复核前被剥离。确定性解读先用规则生成五段结论，AI 解读只做补充，且禁止新增数字与因果措辞。</w:t>
      </w:r>
    </w:p>
    <w:p>
      <w:pPr>
        <w:keepNext/>
        <w:spacing w:before="200" w:after="80"/>
      </w:pPr>
      <w:r>
        <w:rPr>
          <w:rFonts w:ascii="微软雅黑" w:hAnsi="微软雅黑" w:eastAsia="微软雅黑"/>
          <w:b/>
          <w:color w:val="1B222C"/>
          <w:sz w:val="25"/>
        </w:rPr>
        <w:t>4.5 本地资料检索（RAG 的当前实现）</w:t>
      </w:r>
    </w:p>
    <w:p>
      <w:pPr>
        <w:ind w:firstLine="0"/>
      </w:pPr>
      <w:r>
        <w:rPr>
          <w:rFonts w:ascii="微软雅黑" w:hAnsi="微软雅黑" w:eastAsia="微软雅黑"/>
          <w:sz w:val="21"/>
        </w:rPr>
        <w:t>PDF / TXT / Markdown 在浏览器内按页切分为片段，使用中文二元组与英文词的 BM25 检索，另含 16 条内置方法提示（缺失值、分母、相关与因果等）；每次最多发送四段命中摘录（合计不超过 6000 字），引用编号必须来自本次资料。资料只用于口径、术语与风险提示，不进入数据快照、图表与计算证据。局限是词法检索，不是向量语义检索。</w:t>
      </w:r>
    </w:p>
    <w:p>
      <w:pPr>
        <w:keepNext/>
        <w:spacing w:before="200" w:after="80"/>
      </w:pPr>
      <w:r>
        <w:rPr>
          <w:rFonts w:ascii="微软雅黑" w:hAnsi="微软雅黑" w:eastAsia="微软雅黑"/>
          <w:b/>
          <w:color w:val="1B222C"/>
          <w:sz w:val="25"/>
        </w:rPr>
        <w:t>4.6 部署与隐私</w:t>
      </w:r>
    </w:p>
    <w:p>
      <w:pPr>
        <w:ind w:firstLine="0"/>
      </w:pPr>
      <w:r>
        <w:rPr>
          <w:rFonts w:ascii="微软雅黑" w:hAnsi="微软雅黑" w:eastAsia="微软雅黑"/>
          <w:sz w:val="21"/>
        </w:rPr>
        <w:t>前端与同源 AI 接口部署在 Cloudflare Pages；模型密钥只存在于云平台环境变量，不回传浏览器、不写入日志与仓库。公网模式禁止网页保存服务端连接信息。</w:t>
      </w:r>
    </w:p>
    <w:p>
      <w:r>
        <w:br w:type="page"/>
      </w:r>
    </w:p>
    <w:p>
      <w:pPr>
        <w:keepNext/>
        <w:spacing w:before="280" w:after="160"/>
        <w:pBdr>
          <w:bottom w:val="single" w:sz="10" w:space="3" w:color="D96B1E"/>
        </w:pBdr>
      </w:pPr>
      <w:r>
        <w:rPr>
          <w:rFonts w:ascii="微软雅黑" w:hAnsi="微软雅黑" w:eastAsia="微软雅黑"/>
          <w:b/>
          <w:color w:val="1B222C"/>
          <w:sz w:val="34"/>
        </w:rPr>
        <w:t>五、项目相关的图片/照片</w:t>
      </w:r>
    </w:p>
    <w:p>
      <w:pPr>
        <w:ind w:firstLine="0"/>
      </w:pPr>
      <w:r>
        <w:rPr>
          <w:rFonts w:ascii="微软雅黑" w:hAnsi="微软雅黑" w:eastAsia="微软雅黑"/>
          <w:sz w:val="21"/>
        </w:rPr>
        <w:t>以下截图均来自实际运行界面，按页面区域截取以保持可读。图 2、图 3 为公网部署 + 真实模型的两轮分析；图 1、图 4、图 5 用于展示导入体检、相关分析与窄屏适配。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532120" cy="5762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workspac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32120" cy="5762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rFonts w:ascii="微软雅黑" w:hAnsi="微软雅黑" w:eastAsia="微软雅黑"/>
          <w:b w:val="0"/>
          <w:i/>
          <w:color w:val="555F6D"/>
          <w:sz w:val="17"/>
        </w:rPr>
        <w:t>图 1  导入后的本地数据体检：字段角色、完整度、重复候选与可直接执行的问题建议（12,330 行、18 字段，截取页面上部）。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532120" cy="53784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pie-re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32120" cy="5378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rFonts w:ascii="微软雅黑" w:hAnsi="微软雅黑" w:eastAsia="微软雅黑"/>
          <w:b w:val="0"/>
          <w:i/>
          <w:color w:val="555F6D"/>
          <w:sz w:val="17"/>
        </w:rPr>
        <w:t>图 2  公网真实模型：天气类型租车次数占比饼图。463 / 247 / 21，占比 63.3%；下方为结果表、来源记录与实际执行的只读 SQL（截取结果区）。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4660653" cy="630935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followu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60653" cy="63093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rFonts w:ascii="微软雅黑" w:hAnsi="微软雅黑" w:eastAsia="微软雅黑"/>
          <w:b w:val="0"/>
          <w:i/>
          <w:color w:val="555F6D"/>
          <w:sz w:val="17"/>
        </w:rPr>
        <w:t>图 3  多轮追问后的「结合证据解读」：可能含义与用途逐条引用本轮事实编号（如依据 3 · 1,061,129 次），并声明「引用有效不等于解释成立」。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532120" cy="590500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correla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32120" cy="5905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rFonts w:ascii="微软雅黑" w:hAnsi="微软雅黑" w:eastAsia="微软雅黑"/>
          <w:b w:val="0"/>
          <w:i/>
          <w:color w:val="555F6D"/>
          <w:sz w:val="17"/>
        </w:rPr>
        <w:t>图 4  散点与 Pearson 相关（截取结果区）：731 个有效配对，r = 0.6275；界面说明仅展示 100 个点，但 r 使用全部有效配对，并明确非因果。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1736564" cy="512063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mobil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736564" cy="51206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rFonts w:ascii="微软雅黑" w:hAnsi="微软雅黑" w:eastAsia="微软雅黑"/>
          <w:b w:val="0"/>
          <w:i/>
          <w:color w:val="555F6D"/>
          <w:sz w:val="17"/>
        </w:rPr>
        <w:t>图 5  390px 窄屏：导航、快照信息与图表配置纵向排列，无横向溢出（截取页面上部 1,150 px；完整页面已核验无溢出）。</w:t>
      </w:r>
    </w:p>
    <w:p>
      <w:pPr>
        <w:keepNext/>
        <w:spacing w:before="280" w:after="160"/>
        <w:pBdr>
          <w:bottom w:val="single" w:sz="10" w:space="3" w:color="D96B1E"/>
        </w:pBdr>
      </w:pPr>
      <w:r>
        <w:rPr>
          <w:rFonts w:ascii="微软雅黑" w:hAnsi="微软雅黑" w:eastAsia="微软雅黑"/>
          <w:b/>
          <w:color w:val="1B222C"/>
          <w:sz w:val="34"/>
        </w:rPr>
        <w:t>六、项目之前是否发表过或获奖</w:t>
      </w:r>
    </w:p>
    <w:p>
      <w:pPr>
        <w:ind w:firstLine="0"/>
      </w:pPr>
      <w:r>
        <w:rPr>
          <w:rFonts w:ascii="微软雅黑" w:hAnsi="微软雅黑" w:eastAsia="微软雅黑"/>
          <w:sz w:val="21"/>
        </w:rPr>
        <w:t>截至 2026-10-31，本项目未在其他赛事、期刊或公开平台发表，也未获得其他奖项。</w:t>
      </w:r>
    </w:p>
    <w:p>
      <w:pPr>
        <w:ind w:firstLine="0"/>
      </w:pPr>
      <w:r>
        <w:rPr>
          <w:rFonts w:ascii="微软雅黑" w:hAnsi="微软雅黑" w:eastAsia="微软雅黑"/>
          <w:sz w:val="21"/>
        </w:rPr>
        <w:t>为提交与评审需要，作品源代码在 GitHub 公开（https://github.com/chenxuanmo123-ops/sui），公网演示地址为 https://sui-ae9.pages.dev/ 。仓库公开与在线演示属于参赛提交材料，不属于“已发表作品”或获奖记录。</w:t>
      </w:r>
    </w:p>
    <w:p>
      <w:pPr>
        <w:ind w:firstLine="0"/>
      </w:pPr>
      <w:r>
        <w:rPr>
          <w:rFonts w:ascii="微软雅黑" w:hAnsi="微软雅黑" w:eastAsia="微软雅黑"/>
          <w:sz w:val="21"/>
        </w:rPr>
        <w:t xml:space="preserve">如需核查开发过程，可查看仓库提交历史、GitHub Actions 的自动验证记录，以及 </w:t>
      </w:r>
      <w:r>
        <w:rPr>
          <w:rFonts w:ascii="Consolas" w:hAnsi="Consolas" w:eastAsia="微软雅黑"/>
          <w:color w:val="2C3E50"/>
          <w:sz w:val="20"/>
        </w:rPr>
        <w:t>docs/项目进度与交接说明.md</w:t>
      </w:r>
      <w:r>
        <w:rPr>
          <w:rFonts w:ascii="微软雅黑" w:hAnsi="微软雅黑" w:eastAsia="微软雅黑"/>
          <w:sz w:val="21"/>
        </w:rPr>
        <w:t xml:space="preserve"> 中按日期记录的验证结果。</w:t>
      </w:r>
    </w:p>
    <w:p>
      <w:pPr>
        <w:keepNext/>
        <w:spacing w:before="280" w:after="160"/>
        <w:pBdr>
          <w:bottom w:val="single" w:sz="10" w:space="3" w:color="D96B1E"/>
        </w:pBdr>
      </w:pPr>
      <w:r>
        <w:rPr>
          <w:rFonts w:ascii="微软雅黑" w:hAnsi="微软雅黑" w:eastAsia="微软雅黑"/>
          <w:b/>
          <w:color w:val="1B222C"/>
          <w:sz w:val="34"/>
        </w:rPr>
        <w:t>七、是否基于其他项目优化</w:t>
      </w:r>
    </w:p>
    <w:p>
      <w:pPr>
        <w:ind w:firstLine="0"/>
      </w:pPr>
      <w:r>
        <w:rPr>
          <w:rFonts w:ascii="微软雅黑" w:hAnsi="微软雅黑" w:eastAsia="微软雅黑"/>
          <w:sz w:val="21"/>
        </w:rPr>
        <w:t>本项目为原创开发，不是对其他参赛作品或开源项目的外壳包装；未复用任何现成“AI 数据分析平台”的界面、交互或业务代码。</w:t>
      </w:r>
    </w:p>
    <w:p>
      <w:pPr>
        <w:keepNext/>
        <w:spacing w:before="200" w:after="80"/>
      </w:pPr>
      <w:r>
        <w:rPr>
          <w:rFonts w:ascii="微软雅黑" w:hAnsi="微软雅黑" w:eastAsia="微软雅黑"/>
          <w:b/>
          <w:color w:val="1B222C"/>
          <w:sz w:val="25"/>
        </w:rPr>
        <w:t>7.1 使用的开源依赖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168"/>
        <w:gridCol w:w="3168"/>
        <w:gridCol w:w="3168"/>
      </w:tblGrid>
      <w:tr>
        <w:trPr>
          <w:tblHeader w:val="true"/>
          <w:cantSplit w:val="true"/>
        </w:trPr>
        <w:tc>
          <w:tcPr>
            <w:tcW w:type="dxa" w:w="2448"/>
            <w:shd w:val="clear" w:color="auto" w:fill="3A4654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依赖</w:t>
            </w:r>
          </w:p>
        </w:tc>
        <w:tc>
          <w:tcPr>
            <w:tcW w:type="dxa" w:w="1944"/>
            <w:shd w:val="clear" w:color="auto" w:fill="3A4654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用途</w:t>
            </w:r>
          </w:p>
        </w:tc>
        <w:tc>
          <w:tcPr>
            <w:tcW w:type="dxa" w:w="4536"/>
            <w:shd w:val="clear" w:color="auto" w:fill="3A4654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244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React 19、Vite、TypeScript</w:t>
            </w:r>
          </w:p>
        </w:tc>
        <w:tc>
          <w:tcPr>
            <w:tcW w:type="dxa" w:w="194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前端框架与构建</w:t>
            </w:r>
          </w:p>
        </w:tc>
        <w:tc>
          <w:tcPr>
            <w:tcW w:type="dxa" w:w="453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按各自开源许可证使用</w:t>
            </w:r>
          </w:p>
        </w:tc>
      </w:tr>
      <w:tr>
        <w:trPr>
          <w:cantSplit w:val="true"/>
        </w:trPr>
        <w:tc>
          <w:tcPr>
            <w:tcW w:type="dxa" w:w="244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sql.js（SQLite WASM）</w:t>
            </w:r>
          </w:p>
        </w:tc>
        <w:tc>
          <w:tcPr>
            <w:tcW w:type="dxa" w:w="194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浏览器内 SQL 引擎</w:t>
            </w:r>
          </w:p>
        </w:tc>
        <w:tc>
          <w:tcPr>
            <w:tcW w:type="dxa" w:w="453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只读查询，参数化执行</w:t>
            </w:r>
          </w:p>
        </w:tc>
      </w:tr>
      <w:tr>
        <w:trPr>
          <w:cantSplit w:val="true"/>
        </w:trPr>
        <w:tc>
          <w:tcPr>
            <w:tcW w:type="dxa" w:w="244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ECharts</w:t>
            </w:r>
          </w:p>
        </w:tc>
        <w:tc>
          <w:tcPr>
            <w:tcW w:type="dxa" w:w="194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图表渲染</w:t>
            </w:r>
          </w:p>
        </w:tc>
        <w:tc>
          <w:tcPr>
            <w:tcW w:type="dxa" w:w="453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按需分包加载</w:t>
            </w:r>
          </w:p>
        </w:tc>
      </w:tr>
      <w:tr>
        <w:trPr>
          <w:cantSplit w:val="true"/>
        </w:trPr>
        <w:tc>
          <w:tcPr>
            <w:tcW w:type="dxa" w:w="244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SheetJS、pdfjs-dist</w:t>
            </w:r>
          </w:p>
        </w:tc>
        <w:tc>
          <w:tcPr>
            <w:tcW w:type="dxa" w:w="194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表格与 PDF 解析</w:t>
            </w:r>
          </w:p>
        </w:tc>
        <w:tc>
          <w:tcPr>
            <w:tcW w:type="dxa" w:w="453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本地解析，不上传原始文件</w:t>
            </w:r>
          </w:p>
        </w:tc>
      </w:tr>
      <w:tr>
        <w:trPr>
          <w:cantSplit w:val="true"/>
        </w:trPr>
        <w:tc>
          <w:tcPr>
            <w:tcW w:type="dxa" w:w="244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lucide-react、fflate</w:t>
            </w:r>
          </w:p>
        </w:tc>
        <w:tc>
          <w:tcPr>
            <w:tcW w:type="dxa" w:w="194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界面图标与 ZIP 打包</w:t>
            </w:r>
          </w:p>
        </w:tc>
        <w:tc>
          <w:tcPr>
            <w:tcW w:type="dxa" w:w="453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可复现 SQL 包在浏览器内生成</w:t>
            </w:r>
          </w:p>
        </w:tc>
      </w:tr>
    </w:tbl>
    <w:p>
      <w:pPr>
        <w:spacing w:after="40"/>
      </w:pPr>
    </w:p>
    <w:p>
      <w:pPr>
        <w:ind w:firstLine="0"/>
      </w:pPr>
      <w:r>
        <w:rPr>
          <w:rFonts w:ascii="微软雅黑" w:hAnsi="微软雅黑" w:eastAsia="微软雅黑"/>
          <w:sz w:val="21"/>
        </w:rPr>
        <w:t xml:space="preserve">依赖清单、版本与许可证信息以仓库 </w:t>
      </w:r>
      <w:r>
        <w:rPr>
          <w:rFonts w:ascii="Consolas" w:hAnsi="Consolas" w:eastAsia="微软雅黑"/>
          <w:color w:val="2C3E50"/>
          <w:sz w:val="20"/>
        </w:rPr>
        <w:t>package.json</w:t>
      </w:r>
      <w:r>
        <w:rPr>
          <w:rFonts w:ascii="微软雅黑" w:hAnsi="微软雅黑" w:eastAsia="微软雅黑"/>
          <w:sz w:val="21"/>
        </w:rPr>
        <w:t>、</w:t>
      </w:r>
      <w:r>
        <w:rPr>
          <w:rFonts w:ascii="Consolas" w:hAnsi="Consolas" w:eastAsia="微软雅黑"/>
          <w:color w:val="2C3E50"/>
          <w:sz w:val="20"/>
        </w:rPr>
        <w:t>package-lock.json</w:t>
      </w:r>
      <w:r>
        <w:rPr>
          <w:rFonts w:ascii="微软雅黑" w:hAnsi="微软雅黑" w:eastAsia="微软雅黑"/>
          <w:sz w:val="21"/>
        </w:rPr>
        <w:t xml:space="preserve"> 为准。演示数据为公开数据集 UCI Bike Sharing </w:t>
      </w:r>
      <w:r>
        <w:rPr>
          <w:rFonts w:ascii="Consolas" w:hAnsi="Consolas" w:eastAsia="微软雅黑"/>
          <w:color w:val="2C3E50"/>
          <w:sz w:val="20"/>
        </w:rPr>
        <w:t>day.csv</w:t>
      </w:r>
      <w:r>
        <w:rPr>
          <w:rFonts w:ascii="微软雅黑" w:hAnsi="微软雅黑" w:eastAsia="微软雅黑"/>
          <w:sz w:val="21"/>
        </w:rPr>
        <w:t xml:space="preserve">，随应用附带逐字节副本并核对 SHA-256；数据版权归原作者，引用出处见 </w:t>
      </w:r>
      <w:r>
        <w:rPr>
          <w:rFonts w:ascii="Consolas" w:hAnsi="Consolas" w:eastAsia="微软雅黑"/>
          <w:color w:val="2C3E50"/>
          <w:sz w:val="20"/>
        </w:rPr>
        <w:t>docs/数据出处与引用说明.md</w:t>
      </w:r>
      <w:r>
        <w:rPr>
          <w:rFonts w:ascii="微软雅黑" w:hAnsi="微软雅黑" w:eastAsia="微软雅黑"/>
          <w:sz w:val="21"/>
        </w:rPr>
        <w:t>。</w:t>
      </w:r>
    </w:p>
    <w:p>
      <w:pPr>
        <w:keepNext/>
        <w:spacing w:before="200" w:after="80"/>
      </w:pPr>
      <w:r>
        <w:rPr>
          <w:rFonts w:ascii="微软雅黑" w:hAnsi="微软雅黑" w:eastAsia="微软雅黑"/>
          <w:b/>
          <w:color w:val="1B222C"/>
          <w:sz w:val="25"/>
        </w:rPr>
        <w:t>7.2 仓库历史说明</w:t>
      </w:r>
    </w:p>
    <w:p>
      <w:pPr>
        <w:ind w:firstLine="0"/>
      </w:pPr>
      <w:r>
        <w:rPr>
          <w:rFonts w:ascii="微软雅黑" w:hAnsi="微软雅黑" w:eastAsia="微软雅黑"/>
          <w:sz w:val="21"/>
        </w:rPr>
        <w:t>仓库中存在 2026 年 4–5 月的若干次无关提交（一个空 README 与一个随后被删除的占位目录），不属于本作品。本作品的代码、文档与设计自 2026-10-22 起进入仓库，之后按功能迭代持续提交；如评审需要，可对照该日期之后的提交记录核查开发过程。</w:t>
      </w:r>
    </w:p>
    <w:p>
      <w:pPr>
        <w:ind w:firstLine="0"/>
      </w:pPr>
      <w:r>
        <w:rPr>
          <w:rFonts w:ascii="微软雅黑" w:hAnsi="微软雅黑" w:eastAsia="微软雅黑"/>
          <w:sz w:val="21"/>
        </w:rPr>
        <w:t>如后续在现有版本上继续迭代，将在本节按版本列出优化点与对应提交。</w:t>
      </w:r>
    </w:p>
    <w:p>
      <w:pPr>
        <w:keepNext/>
        <w:spacing w:before="280" w:after="160"/>
        <w:pBdr>
          <w:bottom w:val="single" w:sz="10" w:space="3" w:color="D96B1E"/>
        </w:pBdr>
      </w:pPr>
      <w:r>
        <w:rPr>
          <w:rFonts w:ascii="微软雅黑" w:hAnsi="微软雅黑" w:eastAsia="微软雅黑"/>
          <w:b/>
          <w:color w:val="1B222C"/>
          <w:sz w:val="34"/>
        </w:rPr>
        <w:t>附录：可核查信息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752"/>
        <w:gridCol w:w="4752"/>
      </w:tblGrid>
      <w:tr>
        <w:trPr>
          <w:tblHeader w:val="true"/>
          <w:cantSplit w:val="true"/>
        </w:trPr>
        <w:tc>
          <w:tcPr>
            <w:tcW w:type="dxa" w:w="1800"/>
            <w:shd w:val="clear" w:color="auto" w:fill="3A4654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7200"/>
            <w:shd w:val="clear" w:color="auto" w:fill="3A4654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在线体验</w:t>
            </w:r>
          </w:p>
        </w:tc>
        <w:tc>
          <w:tcPr>
            <w:tcW w:type="dxa" w:w="720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https://sui-ae9.pages.dev/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源码仓库</w:t>
            </w:r>
          </w:p>
        </w:tc>
        <w:tc>
          <w:tcPr>
            <w:tcW w:type="dxa" w:w="720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https://github.com/chenxuanmo123-ops/sui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示例数据</w:t>
            </w:r>
          </w:p>
        </w:tc>
        <w:tc>
          <w:tcPr>
            <w:tcW w:type="dxa" w:w="720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UCI Bike Sharing day.csv，731 行、16 列；SHA-256 随应用展示并在载入时核对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复现命令</w:t>
            </w:r>
          </w:p>
        </w:tc>
        <w:tc>
          <w:tcPr>
            <w:tcW w:type="dxa" w:w="720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npm run test:ai / test:core / test:production / verify:public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证据导出</w:t>
            </w:r>
          </w:p>
        </w:tc>
        <w:tc>
          <w:tcPr>
            <w:tcW w:type="dxa" w:w="720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结果 CSV、SVG、HTML 证据报告、可复现 SQL 包（CSV + schema + SQL + 预期结果 + Python 复跑）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已知限制</w:t>
            </w:r>
          </w:p>
        </w:tc>
        <w:tc>
          <w:tcPr>
            <w:tcW w:type="dxa" w:w="720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未实现流式输出、MCP、预测/回归/因果分析；资料检索为词法 BM25，非向量检索</w:t>
            </w:r>
          </w:p>
        </w:tc>
      </w:tr>
    </w:tbl>
    <w:p>
      <w:pPr>
        <w:spacing w:after="40"/>
      </w:pPr>
    </w:p>
    <w:p>
      <w:pPr>
        <w:spacing w:before="40"/>
        <w:ind w:left="259"/>
      </w:pPr>
      <w:r>
        <w:rPr>
          <w:rFonts w:ascii="微软雅黑" w:hAnsi="微软雅黑" w:eastAsia="微软雅黑"/>
          <w:color w:val="555F6D"/>
          <w:sz w:val="19"/>
        </w:rPr>
        <w:t>说明：本文档中的测试数量为提交前最后一次回归结果；真实模型验收日期为 2026-10-30。演示视频与完整作品文件另附链接。</w:t>
      </w:r>
    </w:p>
    <w:sectPr w:rsidR="00FC693F" w:rsidRPr="0006063C" w:rsidSect="00034616">
      <w:footerReference w:type="default" r:id="rId9"/>
      <w:pgSz w:w="12240" w:h="15840"/>
      <w:pgMar w:top="1224" w:right="1368" w:bottom="1152" w:left="13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/>
        <w:color w:val="555F6D"/>
        <w:sz w:val="16"/>
      </w:rPr>
      <w:t xml:space="preserve">第 </w:t>
    </w:r>
    <w:fldSimple w:instr="PAGE"/>
    <w:r>
      <w:rPr>
        <w:rFonts w:ascii="微软雅黑" w:hAnsi="微软雅黑" w:eastAsia="微软雅黑"/>
        <w:color w:val="555F6D"/>
        <w:sz w:val="16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20"/>
    </w:pPr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数鉴 Agent — 参赛作品介绍文档</dc:title>
  <dc:subject>AI 数据分析与可视化</dc:subject>
  <dc:creator>数鉴 Agent</dc:creator>
  <cp:keywords/>
  <dc:description>2026-10-31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