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D91" w:rsidRDefault="00AD2D91" w:rsidP="00AD2D91">
      <w:pPr>
        <w:pStyle w:val="1"/>
      </w:pPr>
      <w:r>
        <w:rPr>
          <w:rFonts w:hint="eastAsia"/>
        </w:rPr>
        <w:t>大模型迁移训练阶段与部署后模型的推理阶段的差异</w:t>
      </w:r>
    </w:p>
    <w:p w:rsidR="00AD2D91" w:rsidRDefault="00AD2D91" w:rsidP="00AD2D91">
      <w:pPr>
        <w:spacing w:line="324" w:lineRule="auto"/>
        <w:rPr>
          <w:b/>
        </w:rPr>
      </w:pPr>
    </w:p>
    <w:p w:rsidR="00AD2D91" w:rsidRDefault="00AD2D91" w:rsidP="006D4E5C">
      <w:pPr>
        <w:spacing w:beforeLines="50" w:before="156" w:afterLines="50" w:after="156" w:line="324" w:lineRule="auto"/>
        <w:rPr>
          <w:b/>
        </w:rPr>
      </w:pPr>
      <w:r>
        <w:rPr>
          <w:rFonts w:hint="eastAsia"/>
          <w:b/>
        </w:rPr>
        <w:t>一、大模型迁移训练阶段</w:t>
      </w:r>
    </w:p>
    <w:p w:rsidR="00587A08" w:rsidRDefault="00587A08" w:rsidP="00587A08">
      <w:pPr>
        <w:pStyle w:val="a7"/>
        <w:numPr>
          <w:ilvl w:val="0"/>
          <w:numId w:val="5"/>
        </w:numPr>
        <w:spacing w:line="324" w:lineRule="auto"/>
        <w:ind w:firstLineChars="0"/>
        <w:rPr>
          <w:b/>
        </w:rPr>
      </w:pPr>
      <w:r>
        <w:rPr>
          <w:rFonts w:hint="eastAsia"/>
          <w:b/>
        </w:rPr>
        <w:t>计算资源</w:t>
      </w:r>
    </w:p>
    <w:p w:rsidR="00587A08" w:rsidRPr="00587A08" w:rsidRDefault="00587A08" w:rsidP="00587A08">
      <w:pPr>
        <w:spacing w:line="324" w:lineRule="auto"/>
        <w:ind w:firstLine="420"/>
      </w:pPr>
      <w:r w:rsidRPr="00587A08">
        <w:rPr>
          <w:rFonts w:hint="eastAsia"/>
        </w:rPr>
        <w:t>在大模型的迁移训练阶段（如图1中的知识蒸馏、下游任务迁移等需要对神经网络计算梯度并更新模型参数的过程），使用鹏城云脑Ⅱ的昇腾</w:t>
      </w:r>
      <w:r w:rsidRPr="00587A08">
        <w:t>AI处理器</w:t>
      </w:r>
      <w:r w:rsidRPr="00587A08">
        <w:rPr>
          <w:rFonts w:hint="eastAsia"/>
        </w:rPr>
        <w:t>（</w:t>
      </w:r>
      <w:r w:rsidRPr="00587A08">
        <w:t>Atlas 900 AI集群</w:t>
      </w:r>
      <w:r w:rsidRPr="00587A08">
        <w:rPr>
          <w:rFonts w:hint="eastAsia"/>
        </w:rPr>
        <w:t>）提供强大的算力支持。</w:t>
      </w:r>
    </w:p>
    <w:p w:rsidR="00587A08" w:rsidRDefault="00AD2D91" w:rsidP="00AD2D91">
      <w:pPr>
        <w:spacing w:line="324" w:lineRule="auto"/>
        <w:rPr>
          <w:b/>
        </w:rPr>
      </w:pPr>
      <w:r w:rsidRPr="00266D2E">
        <w:rPr>
          <w:b/>
        </w:rPr>
        <w:t xml:space="preserve"> </w:t>
      </w:r>
    </w:p>
    <w:p w:rsidR="006D4E5C" w:rsidRDefault="00587A08" w:rsidP="00587A08">
      <w:pPr>
        <w:pStyle w:val="a7"/>
        <w:numPr>
          <w:ilvl w:val="0"/>
          <w:numId w:val="5"/>
        </w:numPr>
        <w:spacing w:line="324" w:lineRule="auto"/>
        <w:ind w:firstLineChars="0"/>
        <w:rPr>
          <w:b/>
        </w:rPr>
      </w:pPr>
      <w:r>
        <w:rPr>
          <w:rFonts w:hint="eastAsia"/>
          <w:b/>
        </w:rPr>
        <w:t>技术路线</w:t>
      </w:r>
    </w:p>
    <w:p w:rsidR="00AD2D91" w:rsidRDefault="00AD2D91" w:rsidP="006D4E5C">
      <w:pPr>
        <w:spacing w:line="324" w:lineRule="auto"/>
        <w:ind w:firstLine="420"/>
      </w:pPr>
      <w:r w:rsidRPr="006D4E5C">
        <w:rPr>
          <w:rFonts w:hint="eastAsia"/>
        </w:rPr>
        <w:t>将大模型知识迁移到小模型，其中较为成熟的技术是知识蒸馏，其通过在下游任务的迁移过程中对齐大模型和小模型的特征以实现知识从大模型到小模型的蒸馏。如此蒸馏迁移得到的小模型通常要比直接在下游任务上单独训练小模型的性能要更好</w:t>
      </w:r>
      <w:r w:rsidR="006D4E5C" w:rsidRPr="006D4E5C">
        <w:rPr>
          <w:rFonts w:hint="eastAsia"/>
        </w:rPr>
        <w:t>。</w:t>
      </w:r>
    </w:p>
    <w:p w:rsidR="006D4E5C" w:rsidRDefault="006D4E5C" w:rsidP="00587A08">
      <w:pPr>
        <w:spacing w:line="324" w:lineRule="auto"/>
        <w:ind w:firstLine="420"/>
        <w:jc w:val="center"/>
      </w:pPr>
      <w:r>
        <w:rPr>
          <w:noProof/>
        </w:rPr>
        <w:drawing>
          <wp:inline distT="0" distB="0" distL="0" distR="0" wp14:anchorId="54FDB187" wp14:editId="23906D33">
            <wp:extent cx="3962961" cy="178776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486" cy="1794322"/>
                    </a:xfrm>
                    <a:prstGeom prst="rect">
                      <a:avLst/>
                    </a:prstGeom>
                  </pic:spPr>
                </pic:pic>
              </a:graphicData>
            </a:graphic>
          </wp:inline>
        </w:drawing>
      </w:r>
    </w:p>
    <w:p w:rsidR="00587A08" w:rsidRPr="00587A08" w:rsidRDefault="00587A08" w:rsidP="00587A08">
      <w:pPr>
        <w:spacing w:line="324" w:lineRule="auto"/>
        <w:ind w:right="210"/>
        <w:jc w:val="center"/>
        <w:rPr>
          <w:rFonts w:hint="eastAsia"/>
        </w:rPr>
      </w:pPr>
      <w:r w:rsidRPr="0085652F">
        <w:rPr>
          <w:rFonts w:hint="eastAsia"/>
        </w:rPr>
        <w:t>图1大模型蒸馏迁移至下游任务的</w:t>
      </w:r>
      <w:r>
        <w:rPr>
          <w:rFonts w:hint="eastAsia"/>
        </w:rPr>
        <w:t>技术路线示意图</w:t>
      </w:r>
    </w:p>
    <w:p w:rsidR="006D4E5C" w:rsidRPr="006D4E5C" w:rsidRDefault="006D4E5C" w:rsidP="006D4E5C">
      <w:pPr>
        <w:spacing w:line="324" w:lineRule="auto"/>
      </w:pPr>
      <w:r w:rsidRPr="006D4E5C">
        <w:rPr>
          <w:rFonts w:hint="eastAsia"/>
        </w:rPr>
        <w:t>大模型蒸馏迁移的框架图如图</w:t>
      </w:r>
      <w:r w:rsidRPr="006D4E5C">
        <w:t>1所示，主要流程如下：</w:t>
      </w:r>
    </w:p>
    <w:p w:rsidR="006D4E5C" w:rsidRPr="006D4E5C" w:rsidRDefault="006D4E5C" w:rsidP="006D4E5C">
      <w:pPr>
        <w:spacing w:line="324" w:lineRule="auto"/>
      </w:pPr>
      <w:r w:rsidRPr="006D4E5C">
        <w:rPr>
          <w:rFonts w:hint="eastAsia"/>
        </w:rPr>
        <w:t>（</w:t>
      </w:r>
      <w:r w:rsidRPr="006D4E5C">
        <w:t>1）给定一个大模型，选定一个小模型(参数量从1千万到1亿不等) ；</w:t>
      </w:r>
    </w:p>
    <w:p w:rsidR="006D4E5C" w:rsidRPr="006D4E5C" w:rsidRDefault="006D4E5C" w:rsidP="006D4E5C">
      <w:pPr>
        <w:spacing w:line="324" w:lineRule="auto"/>
      </w:pPr>
      <w:r w:rsidRPr="006D4E5C">
        <w:rPr>
          <w:rFonts w:hint="eastAsia"/>
        </w:rPr>
        <w:t>（</w:t>
      </w:r>
      <w:r w:rsidRPr="006D4E5C">
        <w:t>2）选定下游任务（如目标检测、图像分割）和下游数据集；</w:t>
      </w:r>
    </w:p>
    <w:p w:rsidR="006D4E5C" w:rsidRDefault="006D4E5C" w:rsidP="006D4E5C">
      <w:pPr>
        <w:spacing w:line="324" w:lineRule="auto"/>
      </w:pPr>
      <w:r w:rsidRPr="006D4E5C">
        <w:rPr>
          <w:rFonts w:hint="eastAsia"/>
        </w:rPr>
        <w:t>（</w:t>
      </w:r>
      <w:r w:rsidRPr="006D4E5C">
        <w:t>3）使用选定的数据集，在选定的任务框架上，替换骨干网络为选定的小模型并进行蒸馏训练，最后整个流程结束之后输出适用于指定下游任务的小模型。</w:t>
      </w:r>
    </w:p>
    <w:p w:rsidR="00AD2D91" w:rsidRPr="00587A08" w:rsidRDefault="00AD2D91" w:rsidP="00587A08">
      <w:pPr>
        <w:spacing w:line="324" w:lineRule="auto"/>
        <w:rPr>
          <w:rFonts w:hint="eastAsia"/>
        </w:rPr>
      </w:pPr>
    </w:p>
    <w:p w:rsidR="00AD2D91" w:rsidRDefault="00AD2D91" w:rsidP="00AD2D91">
      <w:pPr>
        <w:spacing w:line="324" w:lineRule="auto"/>
      </w:pPr>
    </w:p>
    <w:p w:rsidR="00AD2D91" w:rsidRPr="00587A08" w:rsidRDefault="00AD2D91" w:rsidP="00AD2D91">
      <w:pPr>
        <w:pStyle w:val="a7"/>
        <w:numPr>
          <w:ilvl w:val="0"/>
          <w:numId w:val="4"/>
        </w:numPr>
        <w:spacing w:beforeLines="50" w:before="156" w:afterLines="50" w:after="156" w:line="324" w:lineRule="auto"/>
        <w:ind w:firstLineChars="0"/>
        <w:rPr>
          <w:rFonts w:hint="eastAsia"/>
          <w:b/>
        </w:rPr>
      </w:pPr>
      <w:r w:rsidRPr="00587A08">
        <w:rPr>
          <w:rFonts w:hint="eastAsia"/>
          <w:b/>
        </w:rPr>
        <w:lastRenderedPageBreak/>
        <w:t>部署后模型的推理阶段</w:t>
      </w:r>
    </w:p>
    <w:p w:rsidR="00587A08" w:rsidRDefault="00587A08" w:rsidP="00587A08">
      <w:pPr>
        <w:pStyle w:val="a7"/>
        <w:numPr>
          <w:ilvl w:val="0"/>
          <w:numId w:val="7"/>
        </w:numPr>
        <w:spacing w:line="324" w:lineRule="auto"/>
        <w:ind w:firstLineChars="0"/>
        <w:rPr>
          <w:b/>
        </w:rPr>
      </w:pPr>
      <w:r>
        <w:rPr>
          <w:rFonts w:hint="eastAsia"/>
          <w:b/>
        </w:rPr>
        <w:t>计算资源</w:t>
      </w:r>
    </w:p>
    <w:p w:rsidR="00587A08" w:rsidRDefault="00587A08" w:rsidP="00587A08">
      <w:pPr>
        <w:pStyle w:val="a7"/>
        <w:spacing w:line="324" w:lineRule="auto"/>
        <w:ind w:firstLineChars="0" w:firstLine="360"/>
      </w:pPr>
      <w:r>
        <w:rPr>
          <w:rFonts w:hint="eastAsia"/>
          <w:b/>
        </w:rPr>
        <w:t>针对云侧</w:t>
      </w:r>
      <w:r w:rsidRPr="00587A08">
        <w:rPr>
          <w:rFonts w:hint="eastAsia"/>
          <w:b/>
        </w:rPr>
        <w:t>在线推理模式，</w:t>
      </w:r>
      <w:r w:rsidRPr="00587A08">
        <w:rPr>
          <w:rFonts w:hint="eastAsia"/>
        </w:rPr>
        <w:t>使用鹏城云脑Ⅱ的昇腾</w:t>
      </w:r>
      <w:r w:rsidRPr="00587A08">
        <w:t>AI处理器（Atlas 900 AI集群）提供强大的算力支持</w:t>
      </w:r>
      <w:r>
        <w:rPr>
          <w:rFonts w:hint="eastAsia"/>
        </w:rPr>
        <w:t>，使用MindSpore框架进行推理</w:t>
      </w:r>
      <w:r w:rsidRPr="00587A08">
        <w:t>。</w:t>
      </w:r>
    </w:p>
    <w:p w:rsidR="00587A08" w:rsidRPr="00587A08" w:rsidRDefault="00587A08" w:rsidP="00587A08">
      <w:pPr>
        <w:pStyle w:val="a7"/>
        <w:spacing w:line="324" w:lineRule="auto"/>
        <w:ind w:firstLineChars="0" w:firstLine="360"/>
        <w:rPr>
          <w:rFonts w:hint="eastAsia"/>
        </w:rPr>
      </w:pPr>
      <w:r w:rsidRPr="00587A08">
        <w:rPr>
          <w:rFonts w:hint="eastAsia"/>
          <w:b/>
        </w:rPr>
        <w:t>针对边/端侧推理模式，</w:t>
      </w:r>
      <w:r>
        <w:rPr>
          <w:rFonts w:hint="eastAsia"/>
        </w:rPr>
        <w:t>使用</w:t>
      </w:r>
      <w:r>
        <w:rPr>
          <w:rFonts w:hint="eastAsia"/>
        </w:rPr>
        <w:t>边/端侧</w:t>
      </w:r>
      <w:r>
        <w:rPr>
          <w:rFonts w:hint="eastAsia"/>
        </w:rPr>
        <w:t>的计算资源。对于可用计算资源类型的不同，选择使用相应的推理框架。具体对应关系如图2所示。</w:t>
      </w:r>
    </w:p>
    <w:p w:rsidR="00AD2D91" w:rsidRPr="00587A08" w:rsidRDefault="00AD2D91" w:rsidP="00587A08">
      <w:pPr>
        <w:pStyle w:val="a7"/>
        <w:numPr>
          <w:ilvl w:val="0"/>
          <w:numId w:val="7"/>
        </w:numPr>
        <w:spacing w:line="324" w:lineRule="auto"/>
        <w:ind w:firstLineChars="0"/>
        <w:rPr>
          <w:b/>
        </w:rPr>
      </w:pPr>
      <w:r w:rsidRPr="00587A08">
        <w:rPr>
          <w:rFonts w:hint="eastAsia"/>
          <w:b/>
        </w:rPr>
        <w:t>技术路线</w:t>
      </w:r>
    </w:p>
    <w:p w:rsidR="00587A08" w:rsidRPr="0085652F" w:rsidRDefault="00587A08" w:rsidP="00587A08">
      <w:pPr>
        <w:spacing w:line="324" w:lineRule="auto"/>
        <w:ind w:right="210" w:firstLine="360"/>
      </w:pPr>
      <w:r w:rsidRPr="000F15E5">
        <w:rPr>
          <w:rFonts w:hint="eastAsia"/>
          <w:bCs/>
        </w:rPr>
        <w:t>在小模型迁移训练完成</w:t>
      </w:r>
      <w:r>
        <w:rPr>
          <w:rFonts w:hint="eastAsia"/>
          <w:bCs/>
        </w:rPr>
        <w:t>之后，其还需转换到推理硬件（如ARM设备，FPGA芯片）和推理框架（如MindSpore</w:t>
      </w:r>
      <w:r>
        <w:rPr>
          <w:bCs/>
        </w:rPr>
        <w:t xml:space="preserve"> </w:t>
      </w:r>
      <w:r>
        <w:rPr>
          <w:rFonts w:hint="eastAsia"/>
          <w:bCs/>
        </w:rPr>
        <w:t>Lite）支持的格式。这一过</w:t>
      </w:r>
      <w:bookmarkStart w:id="0" w:name="_GoBack"/>
      <w:bookmarkEnd w:id="0"/>
      <w:r>
        <w:rPr>
          <w:rFonts w:hint="eastAsia"/>
          <w:bCs/>
        </w:rPr>
        <w:t>程如图</w:t>
      </w:r>
      <w:r>
        <w:rPr>
          <w:bCs/>
        </w:rPr>
        <w:t>2</w:t>
      </w:r>
      <w:r>
        <w:rPr>
          <w:rFonts w:hint="eastAsia"/>
          <w:bCs/>
        </w:rPr>
        <w:t>所示，</w:t>
      </w:r>
      <w:r>
        <w:rPr>
          <w:rFonts w:hint="eastAsia"/>
        </w:rPr>
        <w:t>以下游场景模型的参数和计算图为输入，将其</w:t>
      </w:r>
      <w:r w:rsidRPr="00C36888">
        <w:t>移植</w:t>
      </w:r>
      <w:r>
        <w:rPr>
          <w:rFonts w:hint="eastAsia"/>
        </w:rPr>
        <w:t>转换</w:t>
      </w:r>
      <w:r w:rsidRPr="00C36888">
        <w:t>到CPU端、GPU端、ARM端、鹏城自研芯片</w:t>
      </w:r>
      <w:r>
        <w:rPr>
          <w:rFonts w:hint="eastAsia"/>
        </w:rPr>
        <w:t>上</w:t>
      </w:r>
      <w:r w:rsidRPr="00C36888">
        <w:t>，</w:t>
      </w:r>
      <w:r>
        <w:rPr>
          <w:rFonts w:hint="eastAsia"/>
        </w:rPr>
        <w:t>提供</w:t>
      </w:r>
      <w:r w:rsidRPr="00C36888">
        <w:t>移植</w:t>
      </w:r>
      <w:r>
        <w:rPr>
          <w:rFonts w:hint="eastAsia"/>
        </w:rPr>
        <w:t>转换</w:t>
      </w:r>
      <w:r w:rsidRPr="00C36888">
        <w:t>后的模型文件。</w:t>
      </w:r>
    </w:p>
    <w:p w:rsidR="00587A08" w:rsidRDefault="00587A08" w:rsidP="00587A08">
      <w:pPr>
        <w:spacing w:line="324" w:lineRule="auto"/>
        <w:ind w:right="210"/>
        <w:jc w:val="center"/>
      </w:pPr>
      <w:r>
        <w:rPr>
          <w:noProof/>
        </w:rPr>
        <w:drawing>
          <wp:inline distT="0" distB="0" distL="0" distR="0" wp14:anchorId="14DCB704" wp14:editId="7265C288">
            <wp:extent cx="5033987" cy="161031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0371" cy="1615559"/>
                    </a:xfrm>
                    <a:prstGeom prst="rect">
                      <a:avLst/>
                    </a:prstGeom>
                  </pic:spPr>
                </pic:pic>
              </a:graphicData>
            </a:graphic>
          </wp:inline>
        </w:drawing>
      </w:r>
    </w:p>
    <w:p w:rsidR="00587A08" w:rsidRDefault="00587A08" w:rsidP="00587A08">
      <w:pPr>
        <w:spacing w:line="324" w:lineRule="auto"/>
        <w:ind w:right="210"/>
        <w:jc w:val="center"/>
      </w:pPr>
      <w:r>
        <w:rPr>
          <w:rFonts w:hint="eastAsia"/>
        </w:rPr>
        <w:t>图</w:t>
      </w:r>
      <w:r>
        <w:t>2</w:t>
      </w:r>
      <w:r>
        <w:rPr>
          <w:rFonts w:hint="eastAsia"/>
        </w:rPr>
        <w:t xml:space="preserve"> 模型转换技术路线示意图</w:t>
      </w:r>
    </w:p>
    <w:p w:rsidR="00587A08" w:rsidRDefault="00587A08" w:rsidP="00587A08">
      <w:pPr>
        <w:spacing w:line="324" w:lineRule="auto"/>
        <w:ind w:right="210" w:firstLineChars="200" w:firstLine="420"/>
      </w:pPr>
      <w:r>
        <w:rPr>
          <w:rFonts w:hint="eastAsia"/>
        </w:rPr>
        <w:t>具体地，首先加载场景模型的模型定义代码文件和</w:t>
      </w:r>
      <w:r>
        <w:t>.ckpt</w:t>
      </w:r>
      <w:r>
        <w:rPr>
          <w:rFonts w:hint="eastAsia"/>
        </w:rPr>
        <w:t>参数文件，保存为同时带有计算图和模型参数的.</w:t>
      </w:r>
      <w:r>
        <w:t>onnx</w:t>
      </w:r>
      <w:r>
        <w:rPr>
          <w:rFonts w:hint="eastAsia"/>
        </w:rPr>
        <w:t>格式的模型文件或.</w:t>
      </w:r>
      <w:r>
        <w:t>mindir</w:t>
      </w:r>
      <w:r>
        <w:rPr>
          <w:rFonts w:hint="eastAsia"/>
        </w:rPr>
        <w:t>格式的模型文件。然后，对于多种设备类型的转换细节如下。</w:t>
      </w:r>
    </w:p>
    <w:p w:rsidR="00587A08" w:rsidRDefault="00587A08" w:rsidP="00587A08">
      <w:pPr>
        <w:pStyle w:val="a7"/>
        <w:numPr>
          <w:ilvl w:val="0"/>
          <w:numId w:val="6"/>
        </w:numPr>
        <w:spacing w:line="324" w:lineRule="auto"/>
        <w:ind w:rightChars="100" w:right="210" w:firstLineChars="0"/>
      </w:pPr>
      <w:r>
        <w:rPr>
          <w:rFonts w:hint="eastAsia"/>
        </w:rPr>
        <w:t>面向英特尔CPU环境，加载上一步得到的.</w:t>
      </w:r>
      <w:r>
        <w:t>onnx</w:t>
      </w:r>
      <w:r>
        <w:rPr>
          <w:rFonts w:hint="eastAsia"/>
        </w:rPr>
        <w:t>格式的模型文件，转换为可在OpenVINO推理框架上运行的.</w:t>
      </w:r>
      <w:r>
        <w:t>bin</w:t>
      </w:r>
      <w:r>
        <w:rPr>
          <w:rFonts w:hint="eastAsia"/>
        </w:rPr>
        <w:t>格式的模型文件。</w:t>
      </w:r>
    </w:p>
    <w:p w:rsidR="00587A08" w:rsidRDefault="00587A08" w:rsidP="00587A08">
      <w:pPr>
        <w:pStyle w:val="a7"/>
        <w:numPr>
          <w:ilvl w:val="0"/>
          <w:numId w:val="6"/>
        </w:numPr>
        <w:spacing w:line="324" w:lineRule="auto"/>
        <w:ind w:rightChars="100" w:right="210" w:firstLineChars="0"/>
      </w:pPr>
      <w:r>
        <w:rPr>
          <w:rFonts w:hint="eastAsia"/>
        </w:rPr>
        <w:t>面向英伟达GPU环境，加载上一步得到的.</w:t>
      </w:r>
      <w:r>
        <w:t>onnx</w:t>
      </w:r>
      <w:r>
        <w:rPr>
          <w:rFonts w:hint="eastAsia"/>
        </w:rPr>
        <w:t>格式的模型文件，转换为可在TensorRT推理框架上运行的.engine格式的模型文件。</w:t>
      </w:r>
    </w:p>
    <w:p w:rsidR="00587A08" w:rsidRDefault="00587A08" w:rsidP="00587A08">
      <w:pPr>
        <w:pStyle w:val="a7"/>
        <w:numPr>
          <w:ilvl w:val="0"/>
          <w:numId w:val="6"/>
        </w:numPr>
        <w:spacing w:line="324" w:lineRule="auto"/>
        <w:ind w:rightChars="100" w:right="210" w:firstLineChars="0"/>
      </w:pPr>
      <w:r>
        <w:rPr>
          <w:rFonts w:hint="eastAsia"/>
        </w:rPr>
        <w:t>面向ARM端环境，加载上一步得到的.mindir格式的模型文件，转换为可在MindSpore</w:t>
      </w:r>
      <w:r>
        <w:t xml:space="preserve"> Lite</w:t>
      </w:r>
      <w:r>
        <w:rPr>
          <w:rFonts w:hint="eastAsia"/>
        </w:rPr>
        <w:t>推理框架上运行的.</w:t>
      </w:r>
      <w:r>
        <w:t>ms</w:t>
      </w:r>
      <w:r>
        <w:rPr>
          <w:rFonts w:hint="eastAsia"/>
        </w:rPr>
        <w:t>格式的模型文件。</w:t>
      </w:r>
    </w:p>
    <w:p w:rsidR="00587A08" w:rsidRDefault="00587A08" w:rsidP="00587A08">
      <w:pPr>
        <w:pStyle w:val="a7"/>
        <w:numPr>
          <w:ilvl w:val="0"/>
          <w:numId w:val="6"/>
        </w:numPr>
        <w:spacing w:line="324" w:lineRule="auto"/>
        <w:ind w:rightChars="100" w:right="210" w:firstLineChars="0"/>
      </w:pPr>
      <w:r>
        <w:rPr>
          <w:rFonts w:hint="eastAsia"/>
        </w:rPr>
        <w:t>面向鹏城自研芯片环境，加载上一步得到的.onnx格式的模型文件，转换为可在自研芯片上运行的.tflite格式的模型文件。</w:t>
      </w:r>
    </w:p>
    <w:p w:rsidR="00587A08" w:rsidRPr="00587A08" w:rsidRDefault="00587A08" w:rsidP="00587A08">
      <w:pPr>
        <w:pStyle w:val="a7"/>
        <w:ind w:left="360" w:firstLineChars="0" w:firstLine="0"/>
        <w:rPr>
          <w:rFonts w:hint="eastAsia"/>
        </w:rPr>
      </w:pPr>
    </w:p>
    <w:sectPr w:rsidR="00587A08" w:rsidRPr="00587A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271" w:rsidRDefault="00C35271" w:rsidP="00897AE9">
      <w:r>
        <w:separator/>
      </w:r>
    </w:p>
  </w:endnote>
  <w:endnote w:type="continuationSeparator" w:id="0">
    <w:p w:rsidR="00C35271" w:rsidRDefault="00C35271" w:rsidP="0089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271" w:rsidRDefault="00C35271" w:rsidP="00897AE9">
      <w:r>
        <w:separator/>
      </w:r>
    </w:p>
  </w:footnote>
  <w:footnote w:type="continuationSeparator" w:id="0">
    <w:p w:rsidR="00C35271" w:rsidRDefault="00C35271" w:rsidP="00897A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6071D"/>
    <w:multiLevelType w:val="hybridMultilevel"/>
    <w:tmpl w:val="3FE48BEA"/>
    <w:lvl w:ilvl="0" w:tplc="D8D61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1D4D17"/>
    <w:multiLevelType w:val="hybridMultilevel"/>
    <w:tmpl w:val="8D58E772"/>
    <w:lvl w:ilvl="0" w:tplc="5FF258F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59206C9E"/>
    <w:multiLevelType w:val="hybridMultilevel"/>
    <w:tmpl w:val="872AC9C4"/>
    <w:lvl w:ilvl="0" w:tplc="323CAFB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2B4B5A"/>
    <w:multiLevelType w:val="hybridMultilevel"/>
    <w:tmpl w:val="766A61D0"/>
    <w:lvl w:ilvl="0" w:tplc="EF1E0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9938F1"/>
    <w:multiLevelType w:val="hybridMultilevel"/>
    <w:tmpl w:val="6EF8B75A"/>
    <w:lvl w:ilvl="0" w:tplc="A32686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6B2E4D"/>
    <w:multiLevelType w:val="hybridMultilevel"/>
    <w:tmpl w:val="9EA6DA5C"/>
    <w:lvl w:ilvl="0" w:tplc="1234D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E81B78"/>
    <w:multiLevelType w:val="hybridMultilevel"/>
    <w:tmpl w:val="53707B1C"/>
    <w:lvl w:ilvl="0" w:tplc="B5E0D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97"/>
    <w:rsid w:val="00175E81"/>
    <w:rsid w:val="00266D2E"/>
    <w:rsid w:val="004C0D5E"/>
    <w:rsid w:val="00587A08"/>
    <w:rsid w:val="005F3D32"/>
    <w:rsid w:val="00691E66"/>
    <w:rsid w:val="006D4E5C"/>
    <w:rsid w:val="00701D9A"/>
    <w:rsid w:val="007D6DE7"/>
    <w:rsid w:val="008464A8"/>
    <w:rsid w:val="0085652F"/>
    <w:rsid w:val="00897AE9"/>
    <w:rsid w:val="00927F2A"/>
    <w:rsid w:val="00AD2D91"/>
    <w:rsid w:val="00B63E31"/>
    <w:rsid w:val="00BF39CC"/>
    <w:rsid w:val="00C35271"/>
    <w:rsid w:val="00C36888"/>
    <w:rsid w:val="00C51197"/>
    <w:rsid w:val="00D71AAD"/>
    <w:rsid w:val="00EA4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52C99"/>
  <w15:chartTrackingRefBased/>
  <w15:docId w15:val="{D8C13026-0D80-4E3A-9530-97866B24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7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7A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A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7AE9"/>
    <w:rPr>
      <w:sz w:val="18"/>
      <w:szCs w:val="18"/>
    </w:rPr>
  </w:style>
  <w:style w:type="paragraph" w:styleId="a5">
    <w:name w:val="footer"/>
    <w:basedOn w:val="a"/>
    <w:link w:val="a6"/>
    <w:uiPriority w:val="99"/>
    <w:unhideWhenUsed/>
    <w:rsid w:val="00897AE9"/>
    <w:pPr>
      <w:tabs>
        <w:tab w:val="center" w:pos="4153"/>
        <w:tab w:val="right" w:pos="8306"/>
      </w:tabs>
      <w:snapToGrid w:val="0"/>
      <w:jc w:val="left"/>
    </w:pPr>
    <w:rPr>
      <w:sz w:val="18"/>
      <w:szCs w:val="18"/>
    </w:rPr>
  </w:style>
  <w:style w:type="character" w:customStyle="1" w:styleId="a6">
    <w:name w:val="页脚 字符"/>
    <w:basedOn w:val="a0"/>
    <w:link w:val="a5"/>
    <w:uiPriority w:val="99"/>
    <w:rsid w:val="00897AE9"/>
    <w:rPr>
      <w:sz w:val="18"/>
      <w:szCs w:val="18"/>
    </w:rPr>
  </w:style>
  <w:style w:type="character" w:customStyle="1" w:styleId="10">
    <w:name w:val="标题 1 字符"/>
    <w:basedOn w:val="a0"/>
    <w:link w:val="1"/>
    <w:uiPriority w:val="9"/>
    <w:rsid w:val="00897AE9"/>
    <w:rPr>
      <w:b/>
      <w:bCs/>
      <w:kern w:val="44"/>
      <w:sz w:val="44"/>
      <w:szCs w:val="44"/>
    </w:rPr>
  </w:style>
  <w:style w:type="character" w:customStyle="1" w:styleId="20">
    <w:name w:val="标题 2 字符"/>
    <w:basedOn w:val="a0"/>
    <w:link w:val="2"/>
    <w:uiPriority w:val="9"/>
    <w:rsid w:val="00897AE9"/>
    <w:rPr>
      <w:rFonts w:asciiTheme="majorHAnsi" w:eastAsiaTheme="majorEastAsia" w:hAnsiTheme="majorHAnsi" w:cstheme="majorBidi"/>
      <w:b/>
      <w:bCs/>
      <w:sz w:val="32"/>
      <w:szCs w:val="32"/>
    </w:rPr>
  </w:style>
  <w:style w:type="paragraph" w:styleId="a7">
    <w:name w:val="List Paragraph"/>
    <w:basedOn w:val="a"/>
    <w:uiPriority w:val="34"/>
    <w:qFormat/>
    <w:rsid w:val="008565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340410">
      <w:bodyDiv w:val="1"/>
      <w:marLeft w:val="0"/>
      <w:marRight w:val="0"/>
      <w:marTop w:val="0"/>
      <w:marBottom w:val="0"/>
      <w:divBdr>
        <w:top w:val="none" w:sz="0" w:space="0" w:color="auto"/>
        <w:left w:val="none" w:sz="0" w:space="0" w:color="auto"/>
        <w:bottom w:val="none" w:sz="0" w:space="0" w:color="auto"/>
        <w:right w:val="none" w:sz="0" w:space="0" w:color="auto"/>
      </w:divBdr>
    </w:div>
    <w:div w:id="1106118683">
      <w:bodyDiv w:val="1"/>
      <w:marLeft w:val="0"/>
      <w:marRight w:val="0"/>
      <w:marTop w:val="0"/>
      <w:marBottom w:val="0"/>
      <w:divBdr>
        <w:top w:val="none" w:sz="0" w:space="0" w:color="auto"/>
        <w:left w:val="none" w:sz="0" w:space="0" w:color="auto"/>
        <w:bottom w:val="none" w:sz="0" w:space="0" w:color="auto"/>
        <w:right w:val="none" w:sz="0" w:space="0" w:color="auto"/>
      </w:divBdr>
      <w:divsChild>
        <w:div w:id="1314524823">
          <w:marLeft w:val="1440"/>
          <w:marRight w:val="0"/>
          <w:marTop w:val="0"/>
          <w:marBottom w:val="0"/>
          <w:divBdr>
            <w:top w:val="none" w:sz="0" w:space="0" w:color="auto"/>
            <w:left w:val="none" w:sz="0" w:space="0" w:color="auto"/>
            <w:bottom w:val="none" w:sz="0" w:space="0" w:color="auto"/>
            <w:right w:val="none" w:sz="0" w:space="0" w:color="auto"/>
          </w:divBdr>
        </w:div>
        <w:div w:id="509686662">
          <w:marLeft w:val="1440"/>
          <w:marRight w:val="0"/>
          <w:marTop w:val="0"/>
          <w:marBottom w:val="0"/>
          <w:divBdr>
            <w:top w:val="none" w:sz="0" w:space="0" w:color="auto"/>
            <w:left w:val="none" w:sz="0" w:space="0" w:color="auto"/>
            <w:bottom w:val="none" w:sz="0" w:space="0" w:color="auto"/>
            <w:right w:val="none" w:sz="0" w:space="0" w:color="auto"/>
          </w:divBdr>
        </w:div>
        <w:div w:id="1355036467">
          <w:marLeft w:val="1440"/>
          <w:marRight w:val="0"/>
          <w:marTop w:val="0"/>
          <w:marBottom w:val="0"/>
          <w:divBdr>
            <w:top w:val="none" w:sz="0" w:space="0" w:color="auto"/>
            <w:left w:val="none" w:sz="0" w:space="0" w:color="auto"/>
            <w:bottom w:val="none" w:sz="0" w:space="0" w:color="auto"/>
            <w:right w:val="none" w:sz="0" w:space="0" w:color="auto"/>
          </w:divBdr>
        </w:div>
      </w:divsChild>
    </w:div>
    <w:div w:id="17043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165</Words>
  <Characters>947</Characters>
  <Application>Microsoft Office Word</Application>
  <DocSecurity>0</DocSecurity>
  <Lines>7</Lines>
  <Paragraphs>2</Paragraphs>
  <ScaleCrop>false</ScaleCrop>
  <Company>HP</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2022-11-18T11:29:00Z</dcterms:created>
  <dcterms:modified xsi:type="dcterms:W3CDTF">2022-11-18T11:29:00Z</dcterms:modified>
</cp:coreProperties>
</file>