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D9C870">
      <w:pPr>
        <w:widowControl w:val="0"/>
        <w:adjustRightInd w:val="0"/>
        <w:snapToGrid w:val="0"/>
        <w:spacing w:line="360" w:lineRule="auto"/>
        <w:jc w:val="center"/>
        <w:rPr>
          <w:rFonts w:ascii="华文中宋" w:hAnsi="华文中宋" w:eastAsia="华文中宋"/>
          <w:sz w:val="40"/>
        </w:rPr>
      </w:pPr>
      <w:r>
        <w:rPr>
          <w:rFonts w:hint="eastAsia" w:ascii="华文中宋" w:hAnsi="华文中宋" w:eastAsia="华文中宋"/>
          <w:sz w:val="44"/>
        </w:rPr>
        <w:t>关于英伟达断供后的国产化替代方案</w:t>
      </w:r>
    </w:p>
    <w:p w14:paraId="07FAB437">
      <w:pPr>
        <w:widowControl w:val="0"/>
        <w:adjustRightInd w:val="0"/>
        <w:snapToGrid w:val="0"/>
        <w:spacing w:line="360" w:lineRule="auto"/>
        <w:rPr>
          <w:sz w:val="32"/>
          <w:szCs w:val="24"/>
        </w:rPr>
      </w:pPr>
    </w:p>
    <w:p w14:paraId="446CB21D">
      <w:pPr>
        <w:widowControl w:val="0"/>
        <w:adjustRightInd w:val="0"/>
        <w:snapToGrid w:val="0"/>
        <w:spacing w:line="360" w:lineRule="auto"/>
        <w:ind w:firstLineChars="200" w:firstLine="640"/>
        <w:rPr>
          <w:sz w:val="32"/>
          <w:szCs w:val="24"/>
        </w:rPr>
      </w:pPr>
      <w:r>
        <w:rPr>
          <w:rFonts w:ascii="仿宋" w:hAnsi="仿宋" w:eastAsia="仿宋" w:cs="仿宋"/>
          <w:b w:val="0"/>
          <w:sz w:val="32"/>
        </w:rPr>
        <w:t>Looogen因算力储备、推理性能需求等原因，目前训练及推理部分采用英伟达芯片</w:t>
      </w:r>
      <w:r>
        <w:rPr>
          <w:rFonts w:ascii="仿宋" w:hAnsi="仿宋" w:eastAsia="仿宋" w:cs="仿宋"/>
          <w:b w:val="0"/>
          <w:color w:val="FF0000"/>
          <w:sz w:val="32"/>
        </w:rPr>
        <w:t>【待确认】</w:t>
      </w:r>
      <w:r>
        <w:rPr>
          <w:rFonts w:ascii="仿宋" w:hAnsi="仿宋" w:eastAsia="仿宋" w:cs="仿宋"/>
          <w:b w:val="0"/>
          <w:sz w:val="32"/>
        </w:rPr>
        <w:t>。为切实保障网络空间安全和数据安全，避免因出口管制等因素影响产品正常服务，我司将采取分批迭代的方式，逐步替换为国产化芯片，实现自主可控的算力底座。</w:t>
      </w:r>
    </w:p>
    <w:p w14:paraId="446CB21D">
      <w:pPr>
        <w:widowControl w:val="0"/>
        <w:adjustRightInd w:val="0"/>
        <w:snapToGrid w:val="0"/>
        <w:spacing w:line="360" w:lineRule="auto"/>
        <w:ind w:firstLineChars="200" w:firstLine="640"/>
        <w:rPr>
          <w:sz w:val="32"/>
          <w:szCs w:val="24"/>
        </w:rPr>
      </w:pPr>
      <w:r>
        <w:rPr>
          <w:rFonts w:ascii="仿宋" w:hAnsi="仿宋" w:eastAsia="仿宋" w:cs="仿宋"/>
          <w:b w:val="0"/>
          <w:sz w:val="32"/>
        </w:rPr>
        <w:t>当前，Looogen训练及推理算力资源使用情况如下：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</w:tcPr>
          <w:p>
            <w:r>
              <w:rPr>
                <w:rFonts w:ascii="仿宋" w:hAnsi="仿宋" w:eastAsia="仿宋" w:cs="仿宋"/>
                <w:b/>
                <w:sz w:val="28"/>
              </w:rPr>
              <w:t>阶段</w:t>
            </w:r>
          </w:p>
        </w:tc>
        <w:tc>
          <w:tcPr>
            <w:tcW w:type="dxa" w:w="3023"/>
          </w:tcPr>
          <w:p>
            <w:r>
              <w:rPr>
                <w:rFonts w:ascii="仿宋" w:hAnsi="仿宋" w:eastAsia="仿宋" w:cs="仿宋"/>
                <w:b/>
                <w:sz w:val="28"/>
              </w:rPr>
              <w:t>GPU厂商</w:t>
            </w:r>
          </w:p>
        </w:tc>
        <w:tc>
          <w:tcPr>
            <w:tcW w:type="dxa" w:w="3023"/>
          </w:tcPr>
          <w:p>
            <w:r>
              <w:rPr>
                <w:rFonts w:ascii="仿宋" w:hAnsi="仿宋" w:eastAsia="仿宋" w:cs="仿宋"/>
                <w:b/>
                <w:sz w:val="28"/>
              </w:rPr>
              <w:t>型号及数量</w:t>
            </w:r>
          </w:p>
        </w:tc>
      </w:tr>
      <w:tr>
        <w:tc>
          <w:tcPr>
            <w:tcW w:type="dxa" w:w="3023"/>
          </w:tcPr>
          <w:p>
            <w:r>
              <w:rPr>
                <w:rFonts w:ascii="仿宋" w:hAnsi="仿宋" w:eastAsia="仿宋" w:cs="仿宋"/>
                <w:b w:val="0"/>
                <w:sz w:val="28"/>
              </w:rPr>
              <w:t>训练</w:t>
            </w:r>
          </w:p>
        </w:tc>
        <w:tc>
          <w:tcPr>
            <w:tcW w:type="dxa" w:w="3023"/>
          </w:tcPr>
          <w:p>
            <w:r>
              <w:rPr>
                <w:rFonts w:ascii="仿宋" w:hAnsi="仿宋" w:eastAsia="仿宋" w:cs="仿宋"/>
                <w:b w:val="0"/>
                <w:color w:val="FF0000"/>
                <w:sz w:val="28"/>
              </w:rPr>
              <w:t>【待填】</w:t>
            </w:r>
          </w:p>
        </w:tc>
        <w:tc>
          <w:tcPr>
            <w:tcW w:type="dxa" w:w="3023"/>
          </w:tcPr>
          <w:p>
            <w:r>
              <w:rPr>
                <w:rFonts w:ascii="仿宋" w:hAnsi="仿宋" w:eastAsia="仿宋" w:cs="仿宋"/>
                <w:b w:val="0"/>
                <w:color w:val="FF0000"/>
                <w:sz w:val="28"/>
              </w:rPr>
              <w:t>【待填：型号×卡数×台数】</w:t>
            </w:r>
          </w:p>
        </w:tc>
      </w:tr>
      <w:tr>
        <w:tc>
          <w:tcPr>
            <w:tcW w:type="dxa" w:w="3023"/>
          </w:tcPr>
          <w:p>
            <w:r>
              <w:rPr>
                <w:rFonts w:ascii="仿宋" w:hAnsi="仿宋" w:eastAsia="仿宋" w:cs="仿宋"/>
                <w:b w:val="0"/>
                <w:sz w:val="28"/>
              </w:rPr>
              <w:t>推理</w:t>
            </w:r>
          </w:p>
        </w:tc>
        <w:tc>
          <w:tcPr>
            <w:tcW w:type="dxa" w:w="3023"/>
          </w:tcPr>
          <w:p>
            <w:r>
              <w:rPr>
                <w:rFonts w:ascii="仿宋" w:hAnsi="仿宋" w:eastAsia="仿宋" w:cs="仿宋"/>
                <w:b w:val="0"/>
                <w:color w:val="FF0000"/>
                <w:sz w:val="28"/>
              </w:rPr>
              <w:t>【待填】</w:t>
            </w:r>
          </w:p>
        </w:tc>
        <w:tc>
          <w:tcPr>
            <w:tcW w:type="dxa" w:w="3023"/>
          </w:tcPr>
          <w:p>
            <w:r>
              <w:rPr>
                <w:rFonts w:ascii="仿宋" w:hAnsi="仿宋" w:eastAsia="仿宋" w:cs="仿宋"/>
                <w:b w:val="0"/>
                <w:color w:val="FF0000"/>
                <w:sz w:val="28"/>
              </w:rPr>
              <w:t>【待填：型号×卡数×台数】</w:t>
            </w:r>
          </w:p>
        </w:tc>
      </w:tr>
    </w:tbl>
    <w:p w14:paraId="446CB21D">
      <w:pPr>
        <w:widowControl w:val="0"/>
        <w:adjustRightInd w:val="0"/>
        <w:snapToGrid w:val="0"/>
        <w:spacing w:line="360" w:lineRule="auto"/>
        <w:ind w:firstLineChars="200" w:firstLine="640"/>
        <w:rPr>
          <w:sz w:val="32"/>
          <w:szCs w:val="24"/>
        </w:rPr>
      </w:pPr>
      <w:r>
        <w:rPr>
          <w:rFonts w:ascii="仿宋" w:hAnsi="仿宋" w:eastAsia="仿宋" w:cs="仿宋"/>
          <w:b w:val="0"/>
          <w:sz w:val="32"/>
        </w:rPr>
        <w:t>经过选型和技术测评，我司计划后续分批将上述英伟达芯片替换为平头哥PPU系列或华为昇腾910系列等国产芯片</w:t>
      </w:r>
      <w:r>
        <w:rPr>
          <w:rFonts w:ascii="仿宋" w:hAnsi="仿宋" w:eastAsia="仿宋" w:cs="仿宋"/>
          <w:b w:val="0"/>
          <w:color w:val="FF0000"/>
          <w:sz w:val="32"/>
        </w:rPr>
        <w:t>【待确认：替代芯片型号及计划时间表】</w:t>
      </w:r>
      <w:r>
        <w:rPr>
          <w:rFonts w:ascii="仿宋" w:hAnsi="仿宋" w:eastAsia="仿宋" w:cs="仿宋"/>
          <w:b w:val="0"/>
          <w:sz w:val="32"/>
        </w:rPr>
        <w:t>。具体方案如下：</w:t>
      </w:r>
    </w:p>
    <w:p w14:paraId="446CB21D">
      <w:pPr>
        <w:widowControl w:val="0"/>
        <w:adjustRightInd w:val="0"/>
        <w:snapToGrid w:val="0"/>
        <w:spacing w:line="360" w:lineRule="auto"/>
        <w:ind w:firstLineChars="200" w:firstLine="640"/>
        <w:rPr>
          <w:sz w:val="32"/>
          <w:szCs w:val="24"/>
        </w:rPr>
      </w:pPr>
      <w:r>
        <w:rPr>
          <w:rFonts w:ascii="仿宋" w:hAnsi="仿宋" w:eastAsia="仿宋" w:cs="仿宋"/>
          <w:b w:val="0"/>
          <w:sz w:val="32"/>
        </w:rPr>
        <w:t>1. 硬件准备与评估：根据模型参数规模、训练与推理任务类型及数据集规模，评估国产芯片的算力、显存及互联能力能否满足需求，确定服务器及芯片数量，完成采购、部署和替换。</w:t>
      </w:r>
    </w:p>
    <w:p w14:paraId="446CB21D">
      <w:pPr>
        <w:widowControl w:val="0"/>
        <w:adjustRightInd w:val="0"/>
        <w:snapToGrid w:val="0"/>
        <w:spacing w:line="360" w:lineRule="auto"/>
        <w:ind w:firstLineChars="200" w:firstLine="640"/>
        <w:rPr>
          <w:sz w:val="32"/>
          <w:szCs w:val="24"/>
        </w:rPr>
      </w:pPr>
      <w:r>
        <w:rPr>
          <w:rFonts w:ascii="仿宋" w:hAnsi="仿宋" w:eastAsia="仿宋" w:cs="仿宋"/>
          <w:b w:val="0"/>
          <w:sz w:val="32"/>
        </w:rPr>
        <w:t>2. 软件环境迁移：适配国产芯片配套的深度学习框架和工具链（如华为昇腾CANN/MindSpore、平头哥PPU软件栈），使用PyTorch迁移适配工具完成训练、推理代码迁移。</w:t>
      </w:r>
    </w:p>
    <w:p w14:paraId="446CB21D">
      <w:pPr>
        <w:widowControl w:val="0"/>
        <w:adjustRightInd w:val="0"/>
        <w:snapToGrid w:val="0"/>
        <w:spacing w:line="360" w:lineRule="auto"/>
        <w:ind w:firstLineChars="200" w:firstLine="640"/>
        <w:rPr>
          <w:sz w:val="32"/>
          <w:szCs w:val="24"/>
        </w:rPr>
      </w:pPr>
      <w:r>
        <w:rPr>
          <w:rFonts w:ascii="仿宋" w:hAnsi="仿宋" w:eastAsia="仿宋" w:cs="仿宋"/>
          <w:b w:val="0"/>
          <w:sz w:val="32"/>
        </w:rPr>
        <w:t>3. 模型迁移：对比原框架与目标框架API，调整不兼容的算子和代码，完成数据格式转换与数据加载器适配，并验证迁移后模型精度与原模型一致。</w:t>
      </w:r>
    </w:p>
    <w:p w14:paraId="446CB21D">
      <w:pPr>
        <w:widowControl w:val="0"/>
        <w:adjustRightInd w:val="0"/>
        <w:snapToGrid w:val="0"/>
        <w:spacing w:line="360" w:lineRule="auto"/>
        <w:ind w:firstLineChars="200" w:firstLine="640"/>
        <w:rPr>
          <w:sz w:val="32"/>
          <w:szCs w:val="24"/>
        </w:rPr>
      </w:pPr>
      <w:r>
        <w:rPr>
          <w:rFonts w:ascii="仿宋" w:hAnsi="仿宋" w:eastAsia="仿宋" w:cs="仿宋"/>
          <w:b w:val="0"/>
          <w:sz w:val="32"/>
        </w:rPr>
        <w:t>4. 训练与推理调优：根据国产芯片的硬件特性调整训练超参数（学习率、批量大小等），测试不同配置下的训练速度和精度，找到最佳平衡点；推理侧完成量化、算子融合等优化。</w:t>
      </w:r>
    </w:p>
    <w:p w14:paraId="446CB21D">
      <w:pPr>
        <w:widowControl w:val="0"/>
        <w:adjustRightInd w:val="0"/>
        <w:snapToGrid w:val="0"/>
        <w:spacing w:line="360" w:lineRule="auto"/>
        <w:ind w:firstLineChars="200" w:firstLine="640"/>
        <w:rPr>
          <w:sz w:val="32"/>
          <w:szCs w:val="24"/>
        </w:rPr>
      </w:pPr>
      <w:r>
        <w:rPr>
          <w:rFonts w:ascii="仿宋" w:hAnsi="仿宋" w:eastAsia="仿宋" w:cs="仿宋"/>
          <w:b w:val="0"/>
          <w:sz w:val="32"/>
        </w:rPr>
        <w:t>5. 性能优化与平稳切换：开展算力性能优化、显存管理和性能压测，分析瓶颈并针对性优化；采用灰度方式逐步切换流量，确保替换过程中服务连续稳定。</w:t>
      </w:r>
    </w:p>
    <w:p w14:paraId="446CB21D">
      <w:pPr>
        <w:widowControl w:val="0"/>
        <w:adjustRightInd w:val="0"/>
        <w:snapToGrid w:val="0"/>
        <w:spacing w:line="360" w:lineRule="auto"/>
        <w:ind w:firstLineChars="200" w:firstLine="640"/>
        <w:rPr>
          <w:sz w:val="32"/>
          <w:szCs w:val="24"/>
        </w:rPr>
      </w:pPr>
      <w:r>
        <w:rPr>
          <w:rFonts w:ascii="仿宋" w:hAnsi="仿宋" w:eastAsia="仿宋" w:cs="仿宋"/>
          <w:b w:val="0"/>
          <w:sz w:val="32"/>
        </w:rPr>
        <w:t>6. 应急保障：在国产化替代完成前，我司将通过境内合规云服务商租用算力、优化模型推理效率等方式保障算力供给，确保英伟达断供情况下Looogen服务不中断。</w:t>
      </w:r>
    </w:p>
    <w:p w14:paraId="446CB21D">
      <w:pPr>
        <w:widowControl w:val="0"/>
        <w:adjustRightInd w:val="0"/>
        <w:snapToGrid w:val="0"/>
        <w:spacing w:line="360" w:lineRule="auto"/>
        <w:ind w:firstLineChars="200" w:firstLine="640"/>
        <w:rPr>
          <w:sz w:val="32"/>
          <w:szCs w:val="24"/>
        </w:rPr>
      </w:pPr>
      <w:r>
        <w:rPr>
          <w:rFonts w:ascii="仿宋" w:hAnsi="仿宋" w:eastAsia="仿宋" w:cs="仿宋"/>
          <w:b w:val="0"/>
          <w:sz w:val="32"/>
        </w:rPr>
        <w:t>特此说明。</w:t>
      </w:r>
    </w:p>
    <w:p w14:paraId="7829F3E5">
      <w:pPr>
        <w:widowControl w:val="0"/>
        <w:adjustRightInd w:val="0"/>
        <w:snapToGrid w:val="0"/>
        <w:spacing w:line="360" w:lineRule="auto"/>
        <w:ind w:firstLine="640" w:firstLineChars="200"/>
        <w:rPr>
          <w:sz w:val="32"/>
          <w:szCs w:val="24"/>
        </w:rPr>
      </w:pPr>
    </w:p>
    <w:p w14:paraId="02AD1A8E">
      <w:pPr>
        <w:widowControl w:val="0"/>
        <w:adjustRightInd w:val="0"/>
        <w:snapToGrid w:val="0"/>
        <w:spacing w:line="360" w:lineRule="auto"/>
        <w:jc w:val="right"/>
        <w:rPr>
          <w:sz w:val="32"/>
          <w:szCs w:val="32"/>
        </w:rPr>
      </w:pPr>
      <w:r>
        <w:rPr>
          <w:rFonts w:ascii="仿宋" w:hAnsi="仿宋" w:eastAsia="仿宋" w:cs="仿宋"/>
          <w:b w:val="0"/>
          <w:sz w:val="32"/>
        </w:rPr>
        <w:t>北京优酷科技有限公司</w:t>
      </w:r>
    </w:p>
    <w:p w14:paraId="240FBDF7">
      <w:pPr>
        <w:widowControl w:val="0"/>
        <w:adjustRightInd w:val="0"/>
        <w:snapToGrid w:val="0"/>
        <w:spacing w:line="360" w:lineRule="auto"/>
        <w:jc w:val="right"/>
        <w:rPr>
          <w:sz w:val="32"/>
          <w:szCs w:val="32"/>
        </w:rPr>
      </w:pPr>
      <w:r>
        <w:rPr>
          <w:rFonts w:ascii="仿宋" w:hAnsi="仿宋" w:eastAsia="仿宋" w:cs="仿宋"/>
          <w:b w:val="0"/>
          <w:sz w:val="32"/>
        </w:rPr>
        <w:t>2026年</w:t>
      </w:r>
      <w:r>
        <w:rPr>
          <w:rFonts w:ascii="仿宋" w:hAnsi="仿宋" w:eastAsia="仿宋" w:cs="仿宋"/>
          <w:b w:val="0"/>
          <w:color w:val="FF0000"/>
          <w:sz w:val="32"/>
        </w:rPr>
        <w:t>【待填】</w:t>
      </w:r>
      <w:r>
        <w:rPr>
          <w:rFonts w:ascii="仿宋" w:hAnsi="仿宋" w:eastAsia="仿宋" w:cs="仿宋"/>
          <w:b w:val="0"/>
          <w:sz w:val="32"/>
        </w:rPr>
        <w:t>月</w:t>
      </w:r>
      <w:r>
        <w:rPr>
          <w:rFonts w:ascii="仿宋" w:hAnsi="仿宋" w:eastAsia="仿宋" w:cs="仿宋"/>
          <w:b w:val="0"/>
          <w:color w:val="FF0000"/>
          <w:sz w:val="32"/>
        </w:rPr>
        <w:t>【待填】</w:t>
      </w:r>
      <w:r>
        <w:rPr>
          <w:rFonts w:ascii="仿宋" w:hAnsi="仿宋" w:eastAsia="仿宋" w:cs="仿宋"/>
          <w:b w:val="0"/>
          <w:sz w:val="32"/>
        </w:rPr>
        <w:t>日</w:t>
      </w:r>
    </w:p>
    <w:p w14:paraId="7E8D0D74">
      <w:pPr>
        <w:widowControl w:val="0"/>
        <w:adjustRightInd w:val="0"/>
        <w:snapToGrid w:val="0"/>
        <w:spacing w:line="360" w:lineRule="auto"/>
        <w:ind w:firstLine="640" w:firstLineChars="200"/>
        <w:rPr>
          <w:sz w:val="32"/>
          <w:szCs w:val="32"/>
        </w:rPr>
      </w:pPr>
      <w:bookmarkStart w:id="0" w:name="_GoBack"/>
      <w:bookmarkEnd w:id="0"/>
    </w:p>
    <w:p w14:paraId="579AAE92">
      <w:pPr>
        <w:widowControl w:val="0"/>
        <w:adjustRightInd w:val="0"/>
        <w:snapToGrid w:val="0"/>
        <w:spacing w:line="360" w:lineRule="auto"/>
        <w:ind w:firstLine="640" w:firstLineChars="200"/>
        <w:rPr>
          <w:sz w:val="32"/>
          <w:szCs w:val="32"/>
        </w:rPr>
      </w:pPr>
    </w:p>
    <w:p w14:paraId="5C1F5135">
      <w:pPr>
        <w:widowControl w:val="0"/>
        <w:adjustRightInd w:val="0"/>
        <w:snapToGrid w:val="0"/>
        <w:spacing w:line="360" w:lineRule="auto"/>
        <w:ind w:firstLine="640" w:firstLineChars="200"/>
        <w:rPr>
          <w:sz w:val="32"/>
          <w:szCs w:val="32"/>
        </w:rPr>
      </w:pPr>
    </w:p>
    <w:sectPr>
      <w:pgSz w:w="11906" w:h="16838"/>
      <w:pgMar w:top="1418" w:right="1418" w:bottom="1418" w:left="1418" w:header="851" w:footer="851" w:gutter="0"/>
      <w:cols w:space="425" w:num="1"/>
      <w:docGrid w:type="lines"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gutterAtTop/>
  <w:documentProtection w:enforcement="0"/>
  <w:defaultTabStop w:val="420"/>
  <w:drawingGridHorizontalSpacing w:val="160"/>
  <w:drawingGridVerticalSpacing w:val="435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C7B"/>
    <w:rsid w:val="000558FC"/>
    <w:rsid w:val="000D56D2"/>
    <w:rsid w:val="002F208E"/>
    <w:rsid w:val="005C2C6A"/>
    <w:rsid w:val="0085366A"/>
    <w:rsid w:val="00857907"/>
    <w:rsid w:val="00910382"/>
    <w:rsid w:val="00A10CCF"/>
    <w:rsid w:val="00AF2C7B"/>
    <w:rsid w:val="00B94BE2"/>
    <w:rsid w:val="00BC07F7"/>
    <w:rsid w:val="00D51A1C"/>
    <w:rsid w:val="00D66C85"/>
    <w:rsid w:val="00F90C09"/>
    <w:rsid w:val="00FC0B2D"/>
    <w:rsid w:val="00FE63AA"/>
    <w:rsid w:val="7DDFD335"/>
    <w:rsid w:val="9D5F094C"/>
    <w:rsid w:val="DBE1A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仿宋" w:hAnsi="仿宋" w:eastAsia="仿宋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仿宋" w:hAnsi="仿宋" w:eastAsia="仿宋" w:cstheme="minorBidi"/>
      <w:kern w:val="2"/>
      <w:sz w:val="3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59</Words>
  <Characters>338</Characters>
  <Lines>2</Lines>
  <Paragraphs>1</Paragraphs>
  <TotalTime>5</TotalTime>
  <ScaleCrop>false</ScaleCrop>
  <LinksUpToDate>false</LinksUpToDate>
  <CharactersWithSpaces>396</CharactersWithSpaces>
  <Application>WPS Office_12.8.2.20327_F1E327BC-269C-435d-A152-05C5408002CA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2024-06-21T18:53:00Z</dcterms:created>
  <dc:creator>Administrator</dc:creator>
  <cp:lastModifiedBy>user</cp:lastModifiedBy>
  <dcterms:modified xsi:type="dcterms:W3CDTF">2026-05-22T16:25:51Z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2052-12.8.2.20327</vt:lpwstr>
  </property>
  <property fmtid="{D5CDD505-2E9C-101B-9397-08002B2CF9AE}" pid="3" name="ICV">
    <vt:lpwstr>AB6018C0EB5CE11D5212106A4E6CDD77_42</vt:lpwstr>
  </property>
</Properties>
</file>