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3B7020B8">
      <w:pPr>
        <w:widowControl/>
        <w:spacing w:line="375" w:lineRule="atLeast"/>
        <w:jc w:val="center"/>
        <w:rPr>
          <w:rFonts w:ascii="宋体" w:hAnsi="宋体" w:cs="宋体"/>
          <w:color w:val="000000"/>
          <w:kern w:val="0"/>
          <w:sz w:val="36"/>
          <w:szCs w:val="36"/>
        </w:rPr>
      </w:pPr>
      <w:r>
        <w:rPr>
          <w:rFonts w:hint="eastAsia" w:ascii="宋体" w:hAnsi="宋体" w:cs="宋体"/>
          <w:color w:val="000000"/>
          <w:kern w:val="0"/>
          <w:sz w:val="36"/>
          <w:szCs w:val="36"/>
        </w:rPr>
        <w:t>慧瑞环保涂料（上海）有限公司</w:t>
      </w:r>
    </w:p>
    <w:p w14:paraId="16B5A00D">
      <w:pPr>
        <w:widowControl/>
        <w:spacing w:line="375" w:lineRule="atLeast"/>
        <w:jc w:val="center"/>
        <w:rPr>
          <w:rFonts w:ascii="宋体" w:hAnsi="宋体" w:cs="宋体"/>
          <w:color w:val="000000"/>
          <w:kern w:val="0"/>
          <w:sz w:val="27"/>
          <w:szCs w:val="27"/>
        </w:rPr>
      </w:pPr>
      <w:r>
        <w:rPr>
          <w:rFonts w:ascii="宋体" w:hAnsi="宋体" w:cs="宋体"/>
          <w:color w:val="000000"/>
          <w:kern w:val="0"/>
          <w:sz w:val="36"/>
          <w:szCs w:val="36"/>
        </w:rPr>
        <w:t>职业病危害告知书</w:t>
      </w:r>
      <w:r>
        <w:rPr>
          <w:rFonts w:ascii="宋体" w:hAnsi="宋体" w:cs="宋体"/>
          <w:color w:val="000000"/>
          <w:kern w:val="0"/>
          <w:sz w:val="27"/>
          <w:szCs w:val="27"/>
        </w:rPr>
        <w:t> </w:t>
      </w:r>
    </w:p>
    <w:p w14:paraId="3965A94C">
      <w:pPr>
        <w:widowControl/>
        <w:spacing w:line="375" w:lineRule="atLeast"/>
        <w:ind w:firstLine="662"/>
        <w:jc w:val="left"/>
        <w:rPr>
          <w:rFonts w:ascii="宋体" w:hAnsi="宋体" w:cs="宋体"/>
          <w:color w:val="000000"/>
          <w:kern w:val="0"/>
          <w:sz w:val="27"/>
          <w:szCs w:val="27"/>
        </w:rPr>
      </w:pPr>
      <w:r>
        <w:rPr>
          <w:rFonts w:ascii="宋体" w:hAnsi="宋体" w:cs="宋体"/>
          <w:color w:val="000000"/>
          <w:kern w:val="0"/>
          <w:sz w:val="24"/>
        </w:rPr>
        <w:t>根据《职业病防治法》第三十</w:t>
      </w:r>
      <w:r>
        <w:rPr>
          <w:rFonts w:hint="eastAsia" w:ascii="宋体" w:hAnsi="宋体" w:cs="宋体"/>
          <w:color w:val="000000"/>
          <w:kern w:val="0"/>
          <w:sz w:val="24"/>
        </w:rPr>
        <w:t>三</w:t>
      </w:r>
      <w:r>
        <w:rPr>
          <w:rFonts w:ascii="宋体" w:hAnsi="宋体" w:cs="宋体"/>
          <w:color w:val="000000"/>
          <w:kern w:val="0"/>
          <w:sz w:val="24"/>
        </w:rPr>
        <w:t>条的规定，用人单位（甲方）在与劳动者（乙方）订立劳动合同时应告知工作过程中可能产生的职业病危害及其后果、职业病防护措施和待遇等内容：</w:t>
      </w:r>
    </w:p>
    <w:p w14:paraId="005C9EA6">
      <w:pPr>
        <w:widowControl/>
        <w:spacing w:line="375" w:lineRule="atLeast"/>
        <w:ind w:firstLine="662"/>
        <w:jc w:val="left"/>
        <w:rPr>
          <w:rFonts w:ascii="宋体" w:hAnsi="宋体" w:cs="宋体"/>
          <w:color w:val="000000"/>
          <w:kern w:val="0"/>
          <w:sz w:val="27"/>
          <w:szCs w:val="27"/>
        </w:rPr>
      </w:pPr>
      <w:r>
        <w:rPr>
          <w:rFonts w:ascii="宋体" w:hAnsi="宋体" w:cs="宋体"/>
          <w:color w:val="000000"/>
          <w:kern w:val="0"/>
          <w:sz w:val="24"/>
        </w:rPr>
        <w:t>（一）所在工作岗位、可能产生的职业病危害、后果及职业病防护措施：</w:t>
      </w:r>
    </w:p>
    <w:tbl>
      <w:tblPr>
        <w:tblStyle w:val="4"/>
        <w:tblW w:w="0" w:type="auto"/>
        <w:jc w:val="center"/>
        <w:tblBorders>
          <w:top w:val="single" w:color="auto" w:sz="8" w:space="0"/>
          <w:left w:val="single" w:color="auto" w:sz="8" w:space="0"/>
          <w:bottom w:val="single" w:color="auto" w:sz="8" w:space="0"/>
          <w:right w:val="single" w:color="auto" w:sz="8" w:space="0"/>
          <w:insideH w:val="single" w:color="auto" w:sz="8" w:space="0"/>
          <w:insideV w:val="single" w:color="auto" w:sz="8" w:space="0"/>
        </w:tblBorders>
        <w:tblLayout w:type="autofit"/>
        <w:tblCellMar>
          <w:top w:w="0" w:type="dxa"/>
          <w:left w:w="0" w:type="dxa"/>
          <w:bottom w:w="0" w:type="dxa"/>
          <w:right w:w="0" w:type="dxa"/>
        </w:tblCellMar>
      </w:tblPr>
      <w:tblGrid>
        <w:gridCol w:w="1685"/>
        <w:gridCol w:w="1411"/>
        <w:gridCol w:w="2385"/>
        <w:gridCol w:w="1639"/>
        <w:gridCol w:w="1402"/>
      </w:tblGrid>
      <w:tr w14:paraId="1212B692">
        <w:tblPrEx>
          <w:tblBorders>
            <w:top w:val="single" w:color="auto" w:sz="8" w:space="0"/>
            <w:left w:val="single" w:color="auto" w:sz="8" w:space="0"/>
            <w:bottom w:val="single" w:color="auto" w:sz="8" w:space="0"/>
            <w:right w:val="single" w:color="auto" w:sz="8" w:space="0"/>
            <w:insideH w:val="single" w:color="auto" w:sz="8" w:space="0"/>
            <w:insideV w:val="single" w:color="auto" w:sz="8" w:space="0"/>
          </w:tblBorders>
        </w:tblPrEx>
        <w:trPr>
          <w:trHeight w:val="769" w:hRule="atLeast"/>
          <w:jc w:val="center"/>
        </w:trPr>
        <w:tc>
          <w:tcPr>
            <w:tcW w:w="1685" w:type="dxa"/>
            <w:noWrap w:val="0"/>
            <w:tcMar>
              <w:top w:w="0" w:type="dxa"/>
              <w:left w:w="108" w:type="dxa"/>
              <w:bottom w:w="0" w:type="dxa"/>
              <w:right w:w="108" w:type="dxa"/>
            </w:tcMar>
            <w:vAlign w:val="center"/>
          </w:tcPr>
          <w:p w14:paraId="4C31ABE0">
            <w:pPr>
              <w:widowControl/>
              <w:spacing w:line="375" w:lineRule="atLeast"/>
              <w:jc w:val="center"/>
              <w:rPr>
                <w:rFonts w:ascii="宋体" w:hAnsi="宋体" w:cs="宋体"/>
                <w:kern w:val="0"/>
                <w:sz w:val="24"/>
              </w:rPr>
            </w:pPr>
            <w:r>
              <w:rPr>
                <w:rFonts w:ascii="宋体" w:hAnsi="宋体" w:cs="宋体"/>
                <w:color w:val="000000"/>
                <w:kern w:val="0"/>
                <w:sz w:val="24"/>
              </w:rPr>
              <w:t>所在部门及</w:t>
            </w:r>
          </w:p>
          <w:p w14:paraId="2FCAE101">
            <w:pPr>
              <w:widowControl/>
              <w:spacing w:line="375" w:lineRule="atLeast"/>
              <w:jc w:val="center"/>
              <w:rPr>
                <w:rFonts w:ascii="宋体" w:hAnsi="宋体" w:cs="宋体"/>
                <w:kern w:val="0"/>
                <w:sz w:val="24"/>
              </w:rPr>
            </w:pPr>
            <w:r>
              <w:rPr>
                <w:rFonts w:ascii="宋体" w:hAnsi="宋体" w:cs="宋体"/>
                <w:color w:val="000000"/>
                <w:kern w:val="0"/>
                <w:sz w:val="24"/>
              </w:rPr>
              <w:t>岗位名称</w:t>
            </w:r>
          </w:p>
        </w:tc>
        <w:tc>
          <w:tcPr>
            <w:tcW w:w="1411" w:type="dxa"/>
            <w:noWrap w:val="0"/>
            <w:tcMar>
              <w:top w:w="0" w:type="dxa"/>
              <w:left w:w="108" w:type="dxa"/>
              <w:bottom w:w="0" w:type="dxa"/>
              <w:right w:w="108" w:type="dxa"/>
            </w:tcMar>
            <w:vAlign w:val="center"/>
          </w:tcPr>
          <w:p w14:paraId="7DACD8EB">
            <w:pPr>
              <w:widowControl/>
              <w:spacing w:line="375" w:lineRule="atLeast"/>
              <w:jc w:val="center"/>
              <w:rPr>
                <w:rFonts w:ascii="宋体" w:hAnsi="宋体" w:cs="宋体"/>
                <w:kern w:val="0"/>
                <w:sz w:val="24"/>
              </w:rPr>
            </w:pPr>
            <w:r>
              <w:rPr>
                <w:rFonts w:ascii="宋体" w:hAnsi="宋体" w:cs="宋体"/>
                <w:color w:val="000000"/>
                <w:kern w:val="0"/>
                <w:sz w:val="24"/>
              </w:rPr>
              <w:t>职业病危害因素</w:t>
            </w:r>
          </w:p>
        </w:tc>
        <w:tc>
          <w:tcPr>
            <w:tcW w:w="2385" w:type="dxa"/>
            <w:noWrap w:val="0"/>
            <w:tcMar>
              <w:top w:w="0" w:type="dxa"/>
              <w:left w:w="108" w:type="dxa"/>
              <w:bottom w:w="0" w:type="dxa"/>
              <w:right w:w="108" w:type="dxa"/>
            </w:tcMar>
            <w:vAlign w:val="center"/>
          </w:tcPr>
          <w:p w14:paraId="6404D122">
            <w:pPr>
              <w:widowControl/>
              <w:spacing w:line="375" w:lineRule="atLeast"/>
              <w:jc w:val="center"/>
              <w:rPr>
                <w:rFonts w:ascii="宋体" w:hAnsi="宋体" w:cs="宋体"/>
                <w:kern w:val="0"/>
                <w:sz w:val="24"/>
              </w:rPr>
            </w:pPr>
            <w:r>
              <w:rPr>
                <w:rFonts w:ascii="宋体" w:hAnsi="宋体" w:cs="宋体"/>
                <w:color w:val="000000"/>
                <w:kern w:val="0"/>
                <w:sz w:val="24"/>
              </w:rPr>
              <w:t>职业禁忌证</w:t>
            </w:r>
          </w:p>
        </w:tc>
        <w:tc>
          <w:tcPr>
            <w:tcW w:w="1639" w:type="dxa"/>
            <w:noWrap w:val="0"/>
            <w:tcMar>
              <w:top w:w="0" w:type="dxa"/>
              <w:left w:w="108" w:type="dxa"/>
              <w:bottom w:w="0" w:type="dxa"/>
              <w:right w:w="108" w:type="dxa"/>
            </w:tcMar>
            <w:vAlign w:val="center"/>
          </w:tcPr>
          <w:p w14:paraId="5304ABE3">
            <w:pPr>
              <w:widowControl/>
              <w:spacing w:line="375" w:lineRule="atLeast"/>
              <w:jc w:val="center"/>
              <w:rPr>
                <w:rFonts w:ascii="宋体" w:hAnsi="宋体" w:cs="宋体"/>
                <w:kern w:val="0"/>
                <w:sz w:val="24"/>
              </w:rPr>
            </w:pPr>
            <w:r>
              <w:rPr>
                <w:rFonts w:ascii="宋体" w:hAnsi="宋体" w:cs="宋体"/>
                <w:color w:val="000000"/>
                <w:kern w:val="0"/>
                <w:sz w:val="24"/>
              </w:rPr>
              <w:t>可能导致的职业病危害</w:t>
            </w:r>
          </w:p>
        </w:tc>
        <w:tc>
          <w:tcPr>
            <w:tcW w:w="1402" w:type="dxa"/>
            <w:noWrap w:val="0"/>
            <w:tcMar>
              <w:top w:w="0" w:type="dxa"/>
              <w:left w:w="108" w:type="dxa"/>
              <w:bottom w:w="0" w:type="dxa"/>
              <w:right w:w="108" w:type="dxa"/>
            </w:tcMar>
            <w:vAlign w:val="center"/>
          </w:tcPr>
          <w:p w14:paraId="5EB495EF">
            <w:pPr>
              <w:widowControl/>
              <w:spacing w:line="375" w:lineRule="atLeast"/>
              <w:jc w:val="center"/>
              <w:rPr>
                <w:rFonts w:ascii="宋体" w:hAnsi="宋体" w:cs="宋体"/>
                <w:kern w:val="0"/>
                <w:sz w:val="24"/>
              </w:rPr>
            </w:pPr>
            <w:r>
              <w:rPr>
                <w:rFonts w:ascii="宋体" w:hAnsi="宋体" w:cs="宋体"/>
                <w:color w:val="000000"/>
                <w:kern w:val="0"/>
                <w:sz w:val="24"/>
              </w:rPr>
              <w:t>职业病防护措施</w:t>
            </w:r>
          </w:p>
        </w:tc>
      </w:tr>
      <w:tr w14:paraId="016E01B9">
        <w:tblPrEx>
          <w:tblBorders>
            <w:top w:val="single" w:color="auto" w:sz="8" w:space="0"/>
            <w:left w:val="single" w:color="auto" w:sz="8" w:space="0"/>
            <w:bottom w:val="single" w:color="auto" w:sz="8" w:space="0"/>
            <w:right w:val="single" w:color="auto" w:sz="8" w:space="0"/>
            <w:insideH w:val="single" w:color="auto" w:sz="8" w:space="0"/>
            <w:insideV w:val="single" w:color="auto" w:sz="8" w:space="0"/>
          </w:tblBorders>
        </w:tblPrEx>
        <w:trPr>
          <w:trHeight w:val="2142" w:hRule="atLeast"/>
          <w:jc w:val="center"/>
        </w:trPr>
        <w:tc>
          <w:tcPr>
            <w:tcW w:w="1685" w:type="dxa"/>
            <w:noWrap w:val="0"/>
            <w:tcMar>
              <w:top w:w="0" w:type="dxa"/>
              <w:left w:w="108" w:type="dxa"/>
              <w:bottom w:w="0" w:type="dxa"/>
              <w:right w:w="108" w:type="dxa"/>
            </w:tcMar>
            <w:vAlign w:val="center"/>
          </w:tcPr>
          <w:p w14:paraId="07D70785">
            <w:pPr>
              <w:widowControl/>
              <w:spacing w:line="375" w:lineRule="atLeast"/>
              <w:ind w:firstLine="480" w:firstLineChars="200"/>
              <w:jc w:val="left"/>
              <w:rPr>
                <w:rFonts w:hint="eastAsia" w:ascii="宋体" w:hAnsi="宋体" w:cs="宋体"/>
                <w:kern w:val="0"/>
                <w:sz w:val="24"/>
              </w:rPr>
            </w:pPr>
            <w:r>
              <w:rPr>
                <w:rFonts w:hint="eastAsia" w:ascii="宋体" w:hAnsi="宋体" w:cs="宋体"/>
                <w:kern w:val="0"/>
                <w:sz w:val="24"/>
              </w:rPr>
              <w:t>技术部</w:t>
            </w:r>
          </w:p>
          <w:p w14:paraId="33303387">
            <w:pPr>
              <w:widowControl/>
              <w:spacing w:line="375" w:lineRule="atLeast"/>
              <w:ind w:firstLine="240" w:firstLineChars="100"/>
              <w:jc w:val="left"/>
              <w:rPr>
                <w:rFonts w:hint="eastAsia" w:ascii="宋体" w:hAnsi="宋体" w:cs="宋体"/>
                <w:kern w:val="0"/>
                <w:sz w:val="24"/>
              </w:rPr>
            </w:pPr>
            <w:r>
              <w:rPr>
                <w:rFonts w:hint="eastAsia" w:ascii="宋体" w:hAnsi="宋体" w:cs="宋体"/>
                <w:kern w:val="0"/>
                <w:sz w:val="24"/>
                <w:lang w:val="en-US" w:eastAsia="zh-CN"/>
              </w:rPr>
              <w:t>驻外</w:t>
            </w:r>
            <w:r>
              <w:rPr>
                <w:rFonts w:hint="eastAsia" w:ascii="宋体" w:hAnsi="宋体" w:cs="宋体"/>
                <w:kern w:val="0"/>
                <w:sz w:val="24"/>
              </w:rPr>
              <w:t>技术员</w:t>
            </w:r>
          </w:p>
          <w:p w14:paraId="4EA759B1">
            <w:pPr>
              <w:widowControl/>
              <w:spacing w:line="375" w:lineRule="atLeast"/>
              <w:jc w:val="left"/>
              <w:rPr>
                <w:rFonts w:hint="eastAsia" w:ascii="宋体" w:hAnsi="宋体" w:cs="宋体"/>
                <w:kern w:val="0"/>
                <w:sz w:val="24"/>
                <w:lang w:val="en-US" w:eastAsia="zh-CN"/>
              </w:rPr>
            </w:pPr>
            <w:r>
              <w:rPr>
                <w:rFonts w:hint="eastAsia" w:ascii="宋体" w:hAnsi="宋体" w:cs="宋体"/>
                <w:kern w:val="0"/>
                <w:sz w:val="24"/>
                <w:lang w:eastAsia="zh-CN"/>
              </w:rPr>
              <w:t>（</w:t>
            </w:r>
            <w:r>
              <w:rPr>
                <w:rFonts w:hint="eastAsia" w:ascii="宋体" w:hAnsi="宋体" w:cs="宋体"/>
                <w:kern w:val="0"/>
                <w:sz w:val="24"/>
                <w:lang w:val="en-US" w:eastAsia="zh-CN"/>
              </w:rPr>
              <w:t>东莞时兴）</w:t>
            </w:r>
          </w:p>
          <w:p w14:paraId="549B752C">
            <w:pPr>
              <w:widowControl/>
              <w:spacing w:line="375" w:lineRule="atLeast"/>
              <w:jc w:val="left"/>
              <w:rPr>
                <w:rFonts w:hint="default" w:ascii="宋体" w:hAnsi="宋体" w:cs="宋体"/>
                <w:kern w:val="0"/>
                <w:sz w:val="24"/>
                <w:lang w:val="en-US" w:eastAsia="zh-CN"/>
              </w:rPr>
            </w:pPr>
            <w:r>
              <w:rPr>
                <w:rFonts w:hint="eastAsia" w:ascii="宋体" w:hAnsi="宋体" w:cs="宋体"/>
                <w:kern w:val="0"/>
                <w:sz w:val="24"/>
                <w:lang w:val="en-US" w:eastAsia="zh-CN"/>
              </w:rPr>
              <w:t xml:space="preserve"> （上岗前）</w:t>
            </w:r>
          </w:p>
          <w:p w14:paraId="7522CB19">
            <w:pPr>
              <w:widowControl/>
              <w:spacing w:line="375" w:lineRule="atLeast"/>
              <w:jc w:val="left"/>
              <w:rPr>
                <w:rFonts w:ascii="宋体" w:hAnsi="宋体" w:cs="宋体"/>
                <w:kern w:val="0"/>
                <w:sz w:val="24"/>
              </w:rPr>
            </w:pPr>
          </w:p>
        </w:tc>
        <w:tc>
          <w:tcPr>
            <w:tcW w:w="1411" w:type="dxa"/>
            <w:noWrap w:val="0"/>
            <w:tcMar>
              <w:top w:w="0" w:type="dxa"/>
              <w:left w:w="108" w:type="dxa"/>
              <w:bottom w:w="0" w:type="dxa"/>
              <w:right w:w="108" w:type="dxa"/>
            </w:tcMar>
            <w:vAlign w:val="center"/>
          </w:tcPr>
          <w:p w14:paraId="6AACD27E">
            <w:pPr>
              <w:widowControl/>
              <w:spacing w:line="375" w:lineRule="atLeast"/>
              <w:jc w:val="left"/>
              <w:rPr>
                <w:rFonts w:hint="default" w:ascii="宋体" w:hAnsi="宋体" w:eastAsia="宋体" w:cs="宋体"/>
                <w:w w:val="99"/>
                <w:sz w:val="20"/>
                <w:szCs w:val="20"/>
                <w:lang w:val="en-US" w:eastAsia="zh-CN"/>
              </w:rPr>
            </w:pPr>
            <w:r>
              <w:rPr>
                <w:rFonts w:hint="eastAsia" w:ascii="宋体" w:hAnsi="宋体" w:eastAsia="宋体" w:cs="宋体"/>
                <w:w w:val="99"/>
                <w:sz w:val="20"/>
                <w:szCs w:val="20"/>
                <w:lang w:val="en-US" w:eastAsia="zh-CN"/>
              </w:rPr>
              <w:t>噪声，紫外辐射、二甲苯、乙苯、正己烷、乙酸甲酯、乙酸乙酯、乙酸丁酯、丙酮、环己烷、甲醇</w:t>
            </w:r>
          </w:p>
        </w:tc>
        <w:tc>
          <w:tcPr>
            <w:tcW w:w="2385" w:type="dxa"/>
            <w:noWrap w:val="0"/>
            <w:tcMar>
              <w:top w:w="0" w:type="dxa"/>
              <w:left w:w="108" w:type="dxa"/>
              <w:bottom w:w="0" w:type="dxa"/>
              <w:right w:w="108" w:type="dxa"/>
            </w:tcMar>
            <w:vAlign w:val="center"/>
          </w:tcPr>
          <w:p w14:paraId="48B521F0">
            <w:pPr>
              <w:keepNext w:val="0"/>
              <w:keepLines w:val="0"/>
              <w:widowControl/>
              <w:suppressLineNumbers w:val="0"/>
              <w:jc w:val="left"/>
              <w:rPr>
                <w:rFonts w:hint="eastAsia" w:ascii="宋体" w:hAnsi="宋体" w:eastAsia="宋体" w:cs="宋体"/>
                <w:b/>
                <w:bCs/>
                <w:w w:val="99"/>
                <w:sz w:val="20"/>
                <w:szCs w:val="20"/>
              </w:rPr>
            </w:pPr>
          </w:p>
          <w:p w14:paraId="4672310D">
            <w:pPr>
              <w:keepNext w:val="0"/>
              <w:keepLines w:val="0"/>
              <w:widowControl/>
              <w:suppressLineNumbers w:val="0"/>
              <w:jc w:val="left"/>
              <w:rPr>
                <w:rFonts w:hint="eastAsia" w:ascii="宋体" w:hAnsi="宋体" w:eastAsia="宋体" w:cs="宋体"/>
                <w:b/>
                <w:bCs/>
                <w:color w:val="000000"/>
                <w:kern w:val="0"/>
                <w:sz w:val="21"/>
                <w:szCs w:val="21"/>
                <w:lang w:val="en-US" w:eastAsia="zh-CN" w:bidi="ar"/>
              </w:rPr>
            </w:pPr>
            <w:r>
              <w:rPr>
                <w:rFonts w:hint="eastAsia" w:ascii="宋体" w:hAnsi="宋体" w:eastAsia="宋体" w:cs="宋体"/>
                <w:b/>
                <w:bCs/>
                <w:color w:val="000000"/>
                <w:kern w:val="0"/>
                <w:sz w:val="21"/>
                <w:szCs w:val="21"/>
                <w:lang w:val="en-US" w:eastAsia="zh-CN" w:bidi="ar"/>
              </w:rPr>
              <w:t>噪声：</w:t>
            </w:r>
          </w:p>
          <w:p w14:paraId="47AABAB1">
            <w:pPr>
              <w:keepNext w:val="0"/>
              <w:keepLines w:val="0"/>
              <w:widowControl/>
              <w:suppressLineNumbers w:val="0"/>
              <w:jc w:val="left"/>
              <w:rPr>
                <w:rFonts w:hint="default" w:ascii="宋体" w:hAnsi="宋体" w:eastAsia="宋体" w:cs="宋体"/>
                <w:color w:val="000000"/>
                <w:kern w:val="0"/>
                <w:sz w:val="21"/>
                <w:szCs w:val="21"/>
                <w:lang w:val="en-US" w:eastAsia="zh-CN" w:bidi="ar"/>
              </w:rPr>
            </w:pPr>
            <w:r>
              <w:rPr>
                <w:rFonts w:hint="default" w:ascii="宋体" w:hAnsi="宋体" w:eastAsia="宋体" w:cs="宋体"/>
                <w:color w:val="000000"/>
                <w:kern w:val="0"/>
                <w:sz w:val="21"/>
                <w:szCs w:val="21"/>
                <w:lang w:val="en-US" w:eastAsia="zh-CN" w:bidi="ar"/>
              </w:rPr>
              <w:t>a) 500 Hz、1000 Hz和2000 Hz中任一频率纯音气导听阈＞25 dBHL的永久性感音神经性听力损失；</w:t>
            </w:r>
          </w:p>
          <w:p w14:paraId="03A09409">
            <w:pPr>
              <w:keepNext w:val="0"/>
              <w:keepLines w:val="0"/>
              <w:widowControl/>
              <w:suppressLineNumbers w:val="0"/>
              <w:jc w:val="left"/>
              <w:rPr>
                <w:rFonts w:hint="default" w:ascii="宋体" w:hAnsi="宋体" w:eastAsia="宋体" w:cs="宋体"/>
                <w:color w:val="000000"/>
                <w:kern w:val="0"/>
                <w:sz w:val="21"/>
                <w:szCs w:val="21"/>
                <w:lang w:val="en-US" w:eastAsia="zh-CN" w:bidi="ar"/>
              </w:rPr>
            </w:pPr>
            <w:r>
              <w:rPr>
                <w:rFonts w:hint="default" w:ascii="宋体" w:hAnsi="宋体" w:eastAsia="宋体" w:cs="宋体"/>
                <w:color w:val="000000"/>
                <w:kern w:val="0"/>
                <w:sz w:val="21"/>
                <w:szCs w:val="21"/>
                <w:lang w:val="en-US" w:eastAsia="zh-CN" w:bidi="ar"/>
              </w:rPr>
              <w:t>b) 高频段3000 Hz、4000 Hz、6000 Hz双耳平均听阈≥40 dBHL，且较好耳语频（500 Hz、1000 Hz</w:t>
            </w:r>
          </w:p>
          <w:p w14:paraId="1865C433">
            <w:pPr>
              <w:keepNext w:val="0"/>
              <w:keepLines w:val="0"/>
              <w:widowControl/>
              <w:suppressLineNumbers w:val="0"/>
              <w:jc w:val="left"/>
              <w:rPr>
                <w:rFonts w:hint="default" w:ascii="宋体" w:hAnsi="宋体" w:eastAsia="宋体" w:cs="宋体"/>
                <w:color w:val="000000"/>
                <w:kern w:val="0"/>
                <w:sz w:val="21"/>
                <w:szCs w:val="21"/>
                <w:lang w:val="en-US" w:eastAsia="zh-CN" w:bidi="ar"/>
              </w:rPr>
            </w:pPr>
            <w:r>
              <w:rPr>
                <w:rFonts w:hint="default" w:ascii="宋体" w:hAnsi="宋体" w:eastAsia="宋体" w:cs="宋体"/>
                <w:color w:val="000000"/>
                <w:kern w:val="0"/>
                <w:sz w:val="21"/>
                <w:szCs w:val="21"/>
                <w:lang w:val="en-US" w:eastAsia="zh-CN" w:bidi="ar"/>
              </w:rPr>
              <w:t>和2000 Hz）和高频（4000 Hz）听阈加权值≥26 dBHL（按GBZ 49）；</w:t>
            </w:r>
          </w:p>
          <w:p w14:paraId="3C2612DC">
            <w:pPr>
              <w:keepNext w:val="0"/>
              <w:keepLines w:val="0"/>
              <w:widowControl/>
              <w:suppressLineNumbers w:val="0"/>
              <w:jc w:val="left"/>
              <w:rPr>
                <w:rFonts w:hint="default" w:ascii="宋体" w:hAnsi="宋体" w:eastAsia="宋体" w:cs="宋体"/>
                <w:color w:val="000000"/>
                <w:kern w:val="0"/>
                <w:sz w:val="21"/>
                <w:szCs w:val="21"/>
                <w:lang w:val="en-US" w:eastAsia="zh-CN" w:bidi="ar"/>
              </w:rPr>
            </w:pPr>
            <w:r>
              <w:rPr>
                <w:rFonts w:hint="default" w:ascii="宋体" w:hAnsi="宋体" w:eastAsia="宋体" w:cs="宋体"/>
                <w:color w:val="000000"/>
                <w:kern w:val="0"/>
                <w:sz w:val="21"/>
                <w:szCs w:val="21"/>
                <w:lang w:val="en-US" w:eastAsia="zh-CN" w:bidi="ar"/>
              </w:rPr>
              <w:t>c) 任一耳传导性听力损失，语频平均听阈≥41 dBHL。</w:t>
            </w:r>
          </w:p>
          <w:p w14:paraId="7290E0A7">
            <w:pPr>
              <w:keepNext w:val="0"/>
              <w:keepLines w:val="0"/>
              <w:widowControl/>
              <w:suppressLineNumbers w:val="0"/>
              <w:jc w:val="left"/>
              <w:rPr>
                <w:rFonts w:hint="default" w:ascii="宋体" w:hAnsi="宋体" w:eastAsia="宋体" w:cs="宋体"/>
                <w:color w:val="000000"/>
                <w:kern w:val="0"/>
                <w:sz w:val="21"/>
                <w:szCs w:val="21"/>
                <w:lang w:val="en-US" w:eastAsia="zh-CN" w:bidi="ar"/>
              </w:rPr>
            </w:pPr>
          </w:p>
          <w:p w14:paraId="6C61A930">
            <w:pPr>
              <w:keepNext w:val="0"/>
              <w:keepLines w:val="0"/>
              <w:widowControl/>
              <w:suppressLineNumbers w:val="0"/>
              <w:jc w:val="left"/>
              <w:rPr>
                <w:rFonts w:hint="eastAsia" w:ascii="宋体" w:hAnsi="宋体" w:eastAsia="宋体" w:cs="宋体"/>
                <w:b/>
                <w:bCs/>
                <w:w w:val="99"/>
                <w:sz w:val="20"/>
                <w:szCs w:val="20"/>
                <w:lang w:val="en-US" w:eastAsia="zh-CN"/>
              </w:rPr>
            </w:pPr>
            <w:r>
              <w:rPr>
                <w:rFonts w:hint="eastAsia" w:ascii="宋体" w:hAnsi="宋体" w:eastAsia="宋体" w:cs="宋体"/>
                <w:b/>
                <w:bCs/>
                <w:w w:val="99"/>
                <w:sz w:val="20"/>
                <w:szCs w:val="20"/>
                <w:lang w:val="en-US" w:eastAsia="zh-CN"/>
              </w:rPr>
              <w:t>紫外辐射：</w:t>
            </w:r>
          </w:p>
          <w:p w14:paraId="29594AA6">
            <w:pPr>
              <w:keepNext w:val="0"/>
              <w:keepLines w:val="0"/>
              <w:widowControl/>
              <w:suppressLineNumbers w:val="0"/>
              <w:jc w:val="left"/>
              <w:rPr>
                <w:rFonts w:hint="default" w:ascii="宋体" w:hAnsi="宋体" w:eastAsia="宋体" w:cs="宋体"/>
                <w:b w:val="0"/>
                <w:bCs w:val="0"/>
                <w:w w:val="99"/>
                <w:sz w:val="20"/>
                <w:szCs w:val="20"/>
                <w:lang w:val="en-US" w:eastAsia="zh-CN"/>
              </w:rPr>
            </w:pPr>
            <w:r>
              <w:rPr>
                <w:rFonts w:hint="default" w:ascii="宋体" w:hAnsi="宋体" w:eastAsia="宋体" w:cs="宋体"/>
                <w:b w:val="0"/>
                <w:bCs w:val="0"/>
                <w:w w:val="99"/>
                <w:sz w:val="20"/>
                <w:szCs w:val="20"/>
                <w:lang w:val="en-US" w:eastAsia="zh-CN"/>
              </w:rPr>
              <w:t>a) 活动性角膜疾病；</w:t>
            </w:r>
          </w:p>
          <w:p w14:paraId="5147F505">
            <w:pPr>
              <w:keepNext w:val="0"/>
              <w:keepLines w:val="0"/>
              <w:widowControl/>
              <w:suppressLineNumbers w:val="0"/>
              <w:jc w:val="left"/>
              <w:rPr>
                <w:rFonts w:hint="default" w:ascii="宋体" w:hAnsi="宋体" w:eastAsia="宋体" w:cs="宋体"/>
                <w:b w:val="0"/>
                <w:bCs w:val="0"/>
                <w:w w:val="99"/>
                <w:sz w:val="20"/>
                <w:szCs w:val="20"/>
                <w:lang w:val="en-US" w:eastAsia="zh-CN"/>
              </w:rPr>
            </w:pPr>
            <w:r>
              <w:rPr>
                <w:rFonts w:hint="default" w:ascii="宋体" w:hAnsi="宋体" w:eastAsia="宋体" w:cs="宋体"/>
                <w:b w:val="0"/>
                <w:bCs w:val="0"/>
                <w:w w:val="99"/>
                <w:sz w:val="20"/>
                <w:szCs w:val="20"/>
                <w:lang w:val="en-US" w:eastAsia="zh-CN"/>
              </w:rPr>
              <w:t>b) 白内障；</w:t>
            </w:r>
          </w:p>
          <w:p w14:paraId="084B84F8">
            <w:pPr>
              <w:keepNext w:val="0"/>
              <w:keepLines w:val="0"/>
              <w:widowControl/>
              <w:suppressLineNumbers w:val="0"/>
              <w:jc w:val="left"/>
              <w:rPr>
                <w:rFonts w:hint="default" w:ascii="宋体" w:hAnsi="宋体" w:eastAsia="宋体" w:cs="宋体"/>
                <w:b w:val="0"/>
                <w:bCs w:val="0"/>
                <w:w w:val="99"/>
                <w:sz w:val="20"/>
                <w:szCs w:val="20"/>
                <w:lang w:val="en-US" w:eastAsia="zh-CN"/>
              </w:rPr>
            </w:pPr>
            <w:r>
              <w:rPr>
                <w:rFonts w:hint="default" w:ascii="宋体" w:hAnsi="宋体" w:eastAsia="宋体" w:cs="宋体"/>
                <w:b w:val="0"/>
                <w:bCs w:val="0"/>
                <w:w w:val="99"/>
                <w:sz w:val="20"/>
                <w:szCs w:val="20"/>
                <w:lang w:val="en-US" w:eastAsia="zh-CN"/>
              </w:rPr>
              <w:t>c) 面、手背和前臂等暴露部位严重慢性皮肤疾病；</w:t>
            </w:r>
          </w:p>
          <w:p w14:paraId="5501593A">
            <w:pPr>
              <w:keepNext w:val="0"/>
              <w:keepLines w:val="0"/>
              <w:widowControl/>
              <w:suppressLineNumbers w:val="0"/>
              <w:jc w:val="left"/>
              <w:rPr>
                <w:rFonts w:hint="default" w:ascii="宋体" w:hAnsi="宋体" w:eastAsia="宋体" w:cs="宋体"/>
                <w:b w:val="0"/>
                <w:bCs w:val="0"/>
                <w:w w:val="99"/>
                <w:sz w:val="20"/>
                <w:szCs w:val="20"/>
                <w:lang w:val="en-US" w:eastAsia="zh-CN"/>
              </w:rPr>
            </w:pPr>
            <w:r>
              <w:rPr>
                <w:rFonts w:hint="default" w:ascii="宋体" w:hAnsi="宋体" w:eastAsia="宋体" w:cs="宋体"/>
                <w:b w:val="0"/>
                <w:bCs w:val="0"/>
                <w:w w:val="99"/>
                <w:sz w:val="20"/>
                <w:szCs w:val="20"/>
                <w:lang w:val="en-US" w:eastAsia="zh-CN"/>
              </w:rPr>
              <w:t>d) 白化病。</w:t>
            </w:r>
          </w:p>
          <w:p w14:paraId="70363C46">
            <w:pPr>
              <w:keepNext w:val="0"/>
              <w:keepLines w:val="0"/>
              <w:widowControl/>
              <w:suppressLineNumbers w:val="0"/>
              <w:jc w:val="left"/>
              <w:rPr>
                <w:rFonts w:hint="default" w:ascii="宋体" w:hAnsi="宋体" w:eastAsia="宋体" w:cs="宋体"/>
                <w:b w:val="0"/>
                <w:bCs w:val="0"/>
                <w:w w:val="99"/>
                <w:sz w:val="20"/>
                <w:szCs w:val="20"/>
                <w:lang w:val="en-US" w:eastAsia="zh-CN"/>
              </w:rPr>
            </w:pPr>
          </w:p>
          <w:p w14:paraId="774E2D13">
            <w:pPr>
              <w:keepNext w:val="0"/>
              <w:keepLines w:val="0"/>
              <w:widowControl/>
              <w:suppressLineNumbers w:val="0"/>
              <w:jc w:val="left"/>
              <w:rPr>
                <w:rFonts w:hint="default" w:ascii="宋体" w:hAnsi="宋体" w:eastAsia="宋体" w:cs="宋体"/>
                <w:b/>
                <w:bCs/>
                <w:w w:val="99"/>
                <w:sz w:val="20"/>
                <w:szCs w:val="20"/>
                <w:lang w:val="en-US" w:eastAsia="zh-CN"/>
              </w:rPr>
            </w:pPr>
            <w:r>
              <w:rPr>
                <w:rFonts w:hint="eastAsia" w:ascii="宋体" w:hAnsi="宋体" w:eastAsia="宋体" w:cs="宋体"/>
                <w:b/>
                <w:bCs/>
                <w:w w:val="99"/>
                <w:sz w:val="20"/>
                <w:szCs w:val="20"/>
                <w:lang w:val="en-US" w:eastAsia="zh-CN"/>
              </w:rPr>
              <w:t>二甲苯：</w:t>
            </w:r>
          </w:p>
          <w:p w14:paraId="5E065577">
            <w:pPr>
              <w:keepNext w:val="0"/>
              <w:keepLines w:val="0"/>
              <w:widowControl/>
              <w:suppressLineNumbers w:val="0"/>
              <w:jc w:val="left"/>
              <w:rPr>
                <w:rFonts w:hint="default" w:ascii="宋体" w:hAnsi="宋体" w:eastAsia="宋体" w:cs="宋体"/>
                <w:color w:val="000000"/>
                <w:kern w:val="0"/>
                <w:sz w:val="21"/>
                <w:szCs w:val="21"/>
                <w:lang w:val="en-US" w:eastAsia="zh-CN" w:bidi="ar"/>
              </w:rPr>
            </w:pPr>
            <w:r>
              <w:rPr>
                <w:rFonts w:hint="default" w:ascii="宋体" w:hAnsi="宋体" w:eastAsia="宋体" w:cs="宋体"/>
                <w:color w:val="000000"/>
                <w:kern w:val="0"/>
                <w:sz w:val="21"/>
                <w:szCs w:val="21"/>
                <w:lang w:val="en-US" w:eastAsia="zh-CN" w:bidi="ar"/>
              </w:rPr>
              <w:t>中枢神经系统器质性疾病。</w:t>
            </w:r>
          </w:p>
          <w:p w14:paraId="0FA4516B">
            <w:pPr>
              <w:keepNext w:val="0"/>
              <w:keepLines w:val="0"/>
              <w:widowControl/>
              <w:suppressLineNumbers w:val="0"/>
              <w:jc w:val="left"/>
              <w:rPr>
                <w:rFonts w:hint="default" w:ascii="宋体" w:hAnsi="宋体" w:eastAsia="宋体" w:cs="宋体"/>
                <w:color w:val="000000"/>
                <w:kern w:val="0"/>
                <w:sz w:val="21"/>
                <w:szCs w:val="21"/>
                <w:lang w:val="en-US" w:eastAsia="zh-CN" w:bidi="ar"/>
              </w:rPr>
            </w:pPr>
          </w:p>
          <w:p w14:paraId="38D1158F">
            <w:pPr>
              <w:keepNext w:val="0"/>
              <w:keepLines w:val="0"/>
              <w:widowControl/>
              <w:suppressLineNumbers w:val="0"/>
              <w:jc w:val="left"/>
              <w:rPr>
                <w:rFonts w:hint="eastAsia" w:ascii="宋体" w:hAnsi="宋体" w:eastAsia="宋体" w:cs="宋体"/>
                <w:b/>
                <w:bCs/>
                <w:color w:val="000000"/>
                <w:kern w:val="0"/>
                <w:sz w:val="21"/>
                <w:szCs w:val="21"/>
                <w:lang w:val="en-US" w:eastAsia="zh-CN" w:bidi="ar"/>
              </w:rPr>
            </w:pPr>
            <w:r>
              <w:rPr>
                <w:rFonts w:hint="eastAsia" w:ascii="宋体" w:hAnsi="宋体" w:eastAsia="宋体" w:cs="宋体"/>
                <w:b/>
                <w:bCs/>
                <w:color w:val="000000"/>
                <w:kern w:val="0"/>
                <w:sz w:val="21"/>
                <w:szCs w:val="21"/>
                <w:lang w:val="en-US" w:eastAsia="zh-CN" w:bidi="ar"/>
              </w:rPr>
              <w:t>甲醇：</w:t>
            </w:r>
          </w:p>
          <w:p w14:paraId="5E6288F8">
            <w:pPr>
              <w:keepNext w:val="0"/>
              <w:keepLines w:val="0"/>
              <w:widowControl/>
              <w:suppressLineNumbers w:val="0"/>
              <w:jc w:val="left"/>
              <w:rPr>
                <w:rFonts w:hint="default" w:ascii="宋体" w:hAnsi="宋体" w:eastAsia="宋体" w:cs="宋体"/>
                <w:color w:val="000000"/>
                <w:kern w:val="0"/>
                <w:sz w:val="21"/>
                <w:szCs w:val="21"/>
                <w:lang w:val="en-US" w:eastAsia="zh-CN" w:bidi="ar"/>
              </w:rPr>
            </w:pPr>
            <w:r>
              <w:rPr>
                <w:rFonts w:hint="default" w:ascii="宋体" w:hAnsi="宋体" w:eastAsia="宋体" w:cs="宋体"/>
                <w:color w:val="000000"/>
                <w:kern w:val="0"/>
                <w:sz w:val="21"/>
                <w:szCs w:val="21"/>
                <w:lang w:val="en-US" w:eastAsia="zh-CN" w:bidi="ar"/>
              </w:rPr>
              <w:t>a) 视网膜及视神经疾病；</w:t>
            </w:r>
          </w:p>
          <w:p w14:paraId="0DE53DB2">
            <w:pPr>
              <w:keepNext w:val="0"/>
              <w:keepLines w:val="0"/>
              <w:widowControl/>
              <w:suppressLineNumbers w:val="0"/>
              <w:jc w:val="left"/>
              <w:rPr>
                <w:rFonts w:hint="default" w:ascii="宋体" w:hAnsi="宋体" w:eastAsia="宋体" w:cs="宋体"/>
                <w:color w:val="000000"/>
                <w:kern w:val="0"/>
                <w:sz w:val="21"/>
                <w:szCs w:val="21"/>
                <w:lang w:val="en-US" w:eastAsia="zh-CN" w:bidi="ar"/>
              </w:rPr>
            </w:pPr>
            <w:r>
              <w:rPr>
                <w:rFonts w:hint="default" w:ascii="宋体" w:hAnsi="宋体" w:eastAsia="宋体" w:cs="宋体"/>
                <w:color w:val="000000"/>
                <w:kern w:val="0"/>
                <w:sz w:val="21"/>
                <w:szCs w:val="21"/>
                <w:lang w:val="en-US" w:eastAsia="zh-CN" w:bidi="ar"/>
              </w:rPr>
              <w:t>b) 中枢神经系统器质性疾病。</w:t>
            </w:r>
          </w:p>
          <w:p w14:paraId="65317B19">
            <w:pPr>
              <w:keepNext w:val="0"/>
              <w:keepLines w:val="0"/>
              <w:widowControl/>
              <w:suppressLineNumbers w:val="0"/>
              <w:jc w:val="left"/>
              <w:rPr>
                <w:rFonts w:hint="default" w:ascii="宋体" w:hAnsi="宋体" w:eastAsia="宋体" w:cs="宋体"/>
                <w:color w:val="000000"/>
                <w:kern w:val="0"/>
                <w:sz w:val="21"/>
                <w:szCs w:val="21"/>
                <w:lang w:val="en-US" w:eastAsia="zh-CN" w:bidi="ar"/>
              </w:rPr>
            </w:pPr>
          </w:p>
          <w:p w14:paraId="45A307E5">
            <w:pPr>
              <w:keepNext w:val="0"/>
              <w:keepLines w:val="0"/>
              <w:widowControl/>
              <w:suppressLineNumbers w:val="0"/>
              <w:jc w:val="left"/>
              <w:rPr>
                <w:rFonts w:hint="default" w:ascii="宋体" w:hAnsi="宋体" w:eastAsia="宋体" w:cs="宋体"/>
                <w:color w:val="000000"/>
                <w:kern w:val="0"/>
                <w:sz w:val="21"/>
                <w:szCs w:val="21"/>
                <w:lang w:val="en-US" w:eastAsia="zh-CN" w:bidi="ar"/>
              </w:rPr>
            </w:pPr>
          </w:p>
          <w:p w14:paraId="4A097216">
            <w:pPr>
              <w:keepNext w:val="0"/>
              <w:keepLines w:val="0"/>
              <w:widowControl/>
              <w:suppressLineNumbers w:val="0"/>
              <w:jc w:val="left"/>
              <w:rPr>
                <w:rFonts w:hint="default" w:ascii="宋体" w:hAnsi="宋体" w:eastAsia="宋体" w:cs="宋体"/>
                <w:color w:val="000000"/>
                <w:kern w:val="0"/>
                <w:sz w:val="21"/>
                <w:szCs w:val="21"/>
                <w:lang w:val="en-US" w:eastAsia="zh-CN" w:bidi="ar"/>
              </w:rPr>
            </w:pPr>
          </w:p>
          <w:p w14:paraId="4F479E7F">
            <w:pPr>
              <w:keepNext w:val="0"/>
              <w:keepLines w:val="0"/>
              <w:widowControl/>
              <w:suppressLineNumbers w:val="0"/>
              <w:jc w:val="left"/>
              <w:rPr>
                <w:rFonts w:hint="default" w:ascii="宋体" w:hAnsi="宋体" w:eastAsia="宋体" w:cs="宋体"/>
                <w:color w:val="000000"/>
                <w:kern w:val="0"/>
                <w:sz w:val="21"/>
                <w:szCs w:val="21"/>
                <w:lang w:val="en-US" w:eastAsia="zh-CN" w:bidi="ar"/>
              </w:rPr>
            </w:pPr>
          </w:p>
          <w:p w14:paraId="32C6973E">
            <w:pPr>
              <w:keepNext w:val="0"/>
              <w:keepLines w:val="0"/>
              <w:widowControl/>
              <w:suppressLineNumbers w:val="0"/>
              <w:jc w:val="left"/>
              <w:rPr>
                <w:rFonts w:hint="default" w:ascii="宋体" w:hAnsi="宋体" w:eastAsia="宋体" w:cs="宋体"/>
                <w:color w:val="000000"/>
                <w:kern w:val="0"/>
                <w:sz w:val="21"/>
                <w:szCs w:val="21"/>
                <w:lang w:val="en-US" w:eastAsia="zh-CN" w:bidi="ar"/>
              </w:rPr>
            </w:pPr>
          </w:p>
        </w:tc>
        <w:tc>
          <w:tcPr>
            <w:tcW w:w="1639" w:type="dxa"/>
            <w:noWrap w:val="0"/>
            <w:tcMar>
              <w:top w:w="0" w:type="dxa"/>
              <w:left w:w="108" w:type="dxa"/>
              <w:bottom w:w="0" w:type="dxa"/>
              <w:right w:w="108" w:type="dxa"/>
            </w:tcMar>
            <w:vAlign w:val="center"/>
          </w:tcPr>
          <w:p w14:paraId="7EAC0311">
            <w:pPr>
              <w:widowControl/>
              <w:spacing w:line="375" w:lineRule="atLeast"/>
              <w:jc w:val="left"/>
              <w:rPr>
                <w:rFonts w:hint="default" w:ascii="宋体" w:hAnsi="宋体" w:eastAsia="宋体" w:cs="宋体"/>
                <w:b w:val="0"/>
                <w:bCs w:val="0"/>
                <w:color w:val="000000"/>
                <w:kern w:val="0"/>
                <w:sz w:val="21"/>
                <w:szCs w:val="21"/>
                <w:lang w:val="en-US" w:eastAsia="zh-CN" w:bidi="ar"/>
              </w:rPr>
            </w:pPr>
          </w:p>
          <w:p w14:paraId="73448FA4">
            <w:pPr>
              <w:widowControl/>
              <w:spacing w:line="375" w:lineRule="atLeast"/>
              <w:jc w:val="left"/>
              <w:rPr>
                <w:rFonts w:ascii="宋体" w:hAnsi="宋体" w:cs="宋体"/>
                <w:kern w:val="0"/>
                <w:sz w:val="24"/>
              </w:rPr>
            </w:pPr>
            <w:r>
              <w:rPr>
                <w:rFonts w:hint="eastAsia" w:ascii="宋体" w:hAnsi="宋体" w:cs="宋体"/>
                <w:kern w:val="0"/>
                <w:szCs w:val="21"/>
              </w:rPr>
              <w:t>GBZ188-20</w:t>
            </w:r>
            <w:r>
              <w:rPr>
                <w:rFonts w:hint="eastAsia" w:ascii="宋体" w:hAnsi="宋体" w:cs="宋体"/>
                <w:kern w:val="0"/>
                <w:szCs w:val="21"/>
                <w:lang w:val="en-US" w:eastAsia="zh-CN"/>
              </w:rPr>
              <w:t>25</w:t>
            </w:r>
            <w:r>
              <w:rPr>
                <w:rFonts w:hint="eastAsia" w:ascii="宋体" w:hAnsi="宋体" w:cs="宋体"/>
                <w:kern w:val="0"/>
                <w:szCs w:val="21"/>
              </w:rPr>
              <w:t>对职业健康检查目标疾病（职业病）未做说明</w:t>
            </w:r>
          </w:p>
        </w:tc>
        <w:tc>
          <w:tcPr>
            <w:tcW w:w="1402" w:type="dxa"/>
            <w:noWrap w:val="0"/>
            <w:tcMar>
              <w:top w:w="0" w:type="dxa"/>
              <w:left w:w="108" w:type="dxa"/>
              <w:bottom w:w="0" w:type="dxa"/>
              <w:right w:w="108" w:type="dxa"/>
            </w:tcMar>
            <w:vAlign w:val="center"/>
          </w:tcPr>
          <w:p w14:paraId="2D1374F9">
            <w:pPr>
              <w:widowControl/>
              <w:spacing w:line="375" w:lineRule="atLeast"/>
              <w:jc w:val="left"/>
              <w:rPr>
                <w:rFonts w:ascii="宋体" w:hAnsi="宋体" w:cs="宋体"/>
                <w:color w:val="000000"/>
                <w:kern w:val="0"/>
                <w:sz w:val="24"/>
              </w:rPr>
            </w:pPr>
            <w:r>
              <w:rPr>
                <w:rFonts w:hint="eastAsia" w:ascii="宋体" w:hAnsi="宋体" w:cs="宋体"/>
                <w:kern w:val="0"/>
                <w:szCs w:val="21"/>
              </w:rPr>
              <w:t>工作服、安全鞋、防毒口罩、防护眼镜、防护手套</w:t>
            </w:r>
            <w:r>
              <w:rPr>
                <w:rFonts w:hint="eastAsia" w:ascii="宋体" w:hAnsi="宋体" w:cs="宋体"/>
                <w:kern w:val="0"/>
                <w:szCs w:val="21"/>
                <w:lang w:eastAsia="zh-CN"/>
              </w:rPr>
              <w:t>、</w:t>
            </w:r>
            <w:r>
              <w:rPr>
                <w:rFonts w:hint="eastAsia" w:ascii="宋体" w:hAnsi="宋体" w:cs="宋体"/>
                <w:kern w:val="0"/>
                <w:szCs w:val="21"/>
              </w:rPr>
              <w:t>防护耳塞</w:t>
            </w:r>
          </w:p>
        </w:tc>
      </w:tr>
    </w:tbl>
    <w:p w14:paraId="1999C619">
      <w:pPr>
        <w:widowControl/>
        <w:spacing w:line="375" w:lineRule="atLeast"/>
        <w:ind w:firstLine="662"/>
        <w:jc w:val="left"/>
        <w:rPr>
          <w:rFonts w:ascii="宋体" w:hAnsi="宋体" w:cs="宋体"/>
          <w:color w:val="000000"/>
          <w:kern w:val="0"/>
          <w:sz w:val="27"/>
          <w:szCs w:val="27"/>
        </w:rPr>
      </w:pPr>
      <w:r>
        <w:rPr>
          <w:rFonts w:ascii="宋体" w:hAnsi="宋体" w:cs="宋体"/>
          <w:color w:val="000000"/>
          <w:kern w:val="0"/>
          <w:sz w:val="24"/>
        </w:rPr>
        <w:t>（二）甲方应依照《职业病防治法》及《职业健康监护技术规范》（GBZ188）的要求，做好乙方上岗前、在岗期间、离岗时的职业健康检查和应急检查。一旦发生职业病，甲方必须按照国家有关法律、法规的要求，为乙方如实提供职业病诊断、鉴定所需的劳动者职业史和职业病危害接触史、工作场所职业病危害因素检测结果等资料及相应待遇。</w:t>
      </w:r>
    </w:p>
    <w:p w14:paraId="4C78CC68">
      <w:pPr>
        <w:widowControl/>
        <w:spacing w:line="375" w:lineRule="atLeast"/>
        <w:ind w:firstLine="662"/>
        <w:jc w:val="left"/>
        <w:rPr>
          <w:rFonts w:ascii="宋体" w:hAnsi="宋体" w:cs="宋体"/>
          <w:color w:val="000000"/>
          <w:kern w:val="0"/>
          <w:sz w:val="27"/>
          <w:szCs w:val="27"/>
        </w:rPr>
      </w:pPr>
      <w:r>
        <w:rPr>
          <w:rFonts w:ascii="宋体" w:hAnsi="宋体" w:cs="宋体"/>
          <w:color w:val="000000"/>
          <w:kern w:val="0"/>
          <w:sz w:val="24"/>
        </w:rPr>
        <w:t>（三）乙方应自觉遵守甲方的职业卫生管理制度和操作规程，正确使用维护职业病防护设施和个人职业病防护用品，积极参加职业卫生知识培训，按要求参加上岗前、在岗期间和离岗时的职业健康检查。若被检查出职业禁忌证或发现与所从事的职业相关的健康损害的，必须服从甲方为保护乙方职业健康而调离原岗位并妥善安置的工作安排。</w:t>
      </w:r>
    </w:p>
    <w:p w14:paraId="37825126">
      <w:pPr>
        <w:widowControl/>
        <w:spacing w:line="375" w:lineRule="atLeast"/>
        <w:ind w:firstLine="662"/>
        <w:jc w:val="left"/>
        <w:rPr>
          <w:rFonts w:ascii="宋体" w:hAnsi="宋体" w:cs="宋体"/>
          <w:color w:val="000000"/>
          <w:kern w:val="0"/>
          <w:sz w:val="27"/>
          <w:szCs w:val="27"/>
        </w:rPr>
      </w:pPr>
      <w:r>
        <w:rPr>
          <w:rFonts w:ascii="宋体" w:hAnsi="宋体" w:cs="宋体"/>
          <w:color w:val="000000"/>
          <w:kern w:val="0"/>
          <w:sz w:val="24"/>
        </w:rPr>
        <w:t>（四）当乙方工作岗位或者工作内容发生变更，从事告知书中未告知的存在职业病危害的作业时，甲方应与其协商变更告知书相关内容，重新签订职业病危害告知书。</w:t>
      </w:r>
    </w:p>
    <w:p w14:paraId="2D4E5FCC">
      <w:pPr>
        <w:widowControl/>
        <w:spacing w:line="375" w:lineRule="atLeast"/>
        <w:ind w:firstLine="662"/>
        <w:jc w:val="left"/>
        <w:rPr>
          <w:rFonts w:ascii="宋体" w:hAnsi="宋体" w:cs="宋体"/>
          <w:color w:val="000000"/>
          <w:kern w:val="0"/>
          <w:sz w:val="27"/>
          <w:szCs w:val="27"/>
        </w:rPr>
      </w:pPr>
      <w:r>
        <w:rPr>
          <w:rFonts w:ascii="宋体" w:hAnsi="宋体" w:cs="宋体"/>
          <w:color w:val="000000"/>
          <w:kern w:val="0"/>
          <w:sz w:val="24"/>
        </w:rPr>
        <w:t>（五）甲方未履行职业病危害告知义务，乙方有权拒绝从事存在职业病危害的作业，甲方不得因此解除与乙方所订立的劳动合同。</w:t>
      </w:r>
    </w:p>
    <w:p w14:paraId="29230478">
      <w:pPr>
        <w:widowControl/>
        <w:spacing w:line="375" w:lineRule="atLeast"/>
        <w:ind w:firstLine="662"/>
        <w:jc w:val="left"/>
        <w:rPr>
          <w:rFonts w:ascii="宋体" w:hAnsi="宋体" w:cs="宋体"/>
          <w:color w:val="000000"/>
          <w:kern w:val="0"/>
          <w:sz w:val="24"/>
        </w:rPr>
      </w:pPr>
      <w:r>
        <w:rPr>
          <w:rFonts w:ascii="宋体" w:hAnsi="宋体" w:cs="宋体"/>
          <w:color w:val="000000"/>
          <w:kern w:val="0"/>
          <w:sz w:val="24"/>
        </w:rPr>
        <w:t>（六）职业病危害告知书作为甲方与乙方签订劳动合同的附件，具有同等的法律效力。</w:t>
      </w:r>
    </w:p>
    <w:p w14:paraId="6617867D">
      <w:pPr>
        <w:widowControl/>
        <w:spacing w:line="375" w:lineRule="atLeast"/>
        <w:ind w:firstLine="662"/>
        <w:jc w:val="left"/>
        <w:rPr>
          <w:rFonts w:hint="eastAsia" w:ascii="宋体" w:hAnsi="宋体" w:cs="宋体"/>
          <w:color w:val="000000"/>
          <w:kern w:val="0"/>
          <w:sz w:val="24"/>
        </w:rPr>
      </w:pPr>
    </w:p>
    <w:p w14:paraId="56B54385">
      <w:pPr>
        <w:widowControl/>
        <w:spacing w:line="375" w:lineRule="atLeast"/>
        <w:ind w:firstLine="662"/>
        <w:jc w:val="left"/>
        <w:rPr>
          <w:rFonts w:hint="eastAsia" w:ascii="宋体" w:hAnsi="宋体" w:cs="宋体"/>
          <w:color w:val="000000"/>
          <w:kern w:val="0"/>
          <w:sz w:val="24"/>
        </w:rPr>
      </w:pPr>
      <w:r>
        <w:rPr>
          <w:rFonts w:hint="eastAsia" w:ascii="宋体" w:hAnsi="宋体" w:cs="宋体"/>
          <w:color w:val="000000"/>
          <w:kern w:val="0"/>
          <w:sz w:val="24"/>
        </w:rPr>
        <w:t>甲方签字（签章）                                   乙方（签字）</w:t>
      </w:r>
    </w:p>
    <w:p w14:paraId="24D24068">
      <w:pPr>
        <w:widowControl/>
        <w:spacing w:line="375" w:lineRule="atLeast"/>
        <w:ind w:firstLine="662"/>
        <w:jc w:val="left"/>
        <w:rPr>
          <w:rFonts w:hint="eastAsia" w:ascii="宋体" w:hAnsi="宋体" w:cs="宋体"/>
          <w:color w:val="000000"/>
          <w:kern w:val="0"/>
          <w:sz w:val="24"/>
        </w:rPr>
      </w:pPr>
      <w:r>
        <w:rPr>
          <w:rFonts w:hint="eastAsia" w:ascii="宋体" w:hAnsi="宋体" w:cs="宋体"/>
          <w:color w:val="000000"/>
          <w:kern w:val="0"/>
          <w:sz w:val="24"/>
        </w:rPr>
        <w:t xml:space="preserve"> </w:t>
      </w:r>
      <w:r>
        <w:drawing>
          <wp:anchor distT="0" distB="0" distL="114300" distR="114300" simplePos="0" relativeHeight="251659264" behindDoc="0" locked="0" layoutInCell="1" allowOverlap="1">
            <wp:simplePos x="0" y="0"/>
            <wp:positionH relativeFrom="column">
              <wp:posOffset>1143000</wp:posOffset>
            </wp:positionH>
            <wp:positionV relativeFrom="paragraph">
              <wp:posOffset>9387205</wp:posOffset>
            </wp:positionV>
            <wp:extent cx="701040" cy="417195"/>
            <wp:effectExtent l="0" t="0" r="0" b="0"/>
            <wp:wrapNone/>
            <wp:docPr id="1"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3"/>
                    <pic:cNvPicPr>
                      <a:picLocks noChangeAspect="1"/>
                    </pic:cNvPicPr>
                  </pic:nvPicPr>
                  <pic:blipFill>
                    <a:blip r:embed="rId4">
                      <a:clrChange>
                        <a:clrFrom>
                          <a:srgbClr val="FFFFFF"/>
                        </a:clrFrom>
                        <a:clrTo>
                          <a:srgbClr val="FFFFFF">
                            <a:alpha val="0"/>
                          </a:srgbClr>
                        </a:clrTo>
                      </a:clrChange>
                    </a:blip>
                    <a:srcRect l="26820" t="47018" r="51422" b="31389"/>
                    <a:stretch>
                      <a:fillRect/>
                    </a:stretch>
                  </pic:blipFill>
                  <pic:spPr>
                    <a:xfrm>
                      <a:off x="0" y="0"/>
                      <a:ext cx="701040" cy="417195"/>
                    </a:xfrm>
                    <a:prstGeom prst="rect">
                      <a:avLst/>
                    </a:prstGeom>
                    <a:noFill/>
                    <a:ln>
                      <a:noFill/>
                    </a:ln>
                  </pic:spPr>
                </pic:pic>
              </a:graphicData>
            </a:graphic>
          </wp:anchor>
        </w:drawing>
      </w:r>
      <w:r>
        <w:rPr>
          <w:rFonts w:hint="eastAsia" w:ascii="宋体" w:hAnsi="宋体" w:cs="宋体"/>
          <w:color w:val="000000"/>
          <w:kern w:val="0"/>
          <w:sz w:val="24"/>
        </w:rPr>
        <w:t xml:space="preserve">                                  </w:t>
      </w:r>
      <w:bookmarkStart w:id="0" w:name="_GoBack"/>
      <w:bookmarkEnd w:id="0"/>
      <w:r>
        <w:rPr>
          <w:rFonts w:hint="eastAsia" w:ascii="宋体" w:hAnsi="宋体" w:cs="宋体"/>
          <w:color w:val="000000"/>
          <w:kern w:val="0"/>
          <w:sz w:val="24"/>
        </w:rPr>
        <w:t xml:space="preserve">                 </w:t>
      </w:r>
    </w:p>
    <w:p w14:paraId="1FFA6665">
      <w:pPr>
        <w:widowControl/>
        <w:spacing w:line="375" w:lineRule="atLeast"/>
        <w:ind w:firstLine="662"/>
        <w:jc w:val="left"/>
        <w:rPr>
          <w:rFonts w:hint="eastAsia"/>
        </w:rPr>
      </w:pPr>
      <w:r>
        <w:rPr>
          <w:rFonts w:hint="eastAsia" w:ascii="宋体" w:hAnsi="宋体" w:cs="宋体"/>
          <w:color w:val="000000"/>
          <w:kern w:val="0"/>
          <w:sz w:val="24"/>
        </w:rPr>
        <w:t xml:space="preserve">年  月  日                                     </w:t>
      </w:r>
      <w:r>
        <w:rPr>
          <w:rFonts w:hint="eastAsia" w:ascii="宋体" w:hAnsi="宋体" w:cs="宋体"/>
          <w:color w:val="000000"/>
          <w:kern w:val="0"/>
          <w:sz w:val="24"/>
          <w:lang w:val="en-US" w:eastAsia="zh-CN"/>
        </w:rPr>
        <w:t xml:space="preserve">  </w:t>
      </w:r>
      <w:r>
        <w:rPr>
          <w:rFonts w:hint="eastAsia" w:ascii="宋体" w:hAnsi="宋体" w:cs="宋体"/>
          <w:color w:val="000000"/>
          <w:kern w:val="0"/>
          <w:sz w:val="24"/>
        </w:rPr>
        <w:t>年</w:t>
      </w:r>
      <w:r>
        <w:rPr>
          <w:rFonts w:hint="eastAsia" w:ascii="宋体" w:hAnsi="宋体" w:cs="宋体"/>
          <w:color w:val="000000"/>
          <w:kern w:val="0"/>
          <w:sz w:val="24"/>
          <w:lang w:val="en-US" w:eastAsia="zh-CN"/>
        </w:rPr>
        <w:t xml:space="preserve">  </w:t>
      </w:r>
      <w:r>
        <w:rPr>
          <w:rFonts w:hint="eastAsia" w:ascii="宋体" w:hAnsi="宋体" w:cs="宋体"/>
          <w:color w:val="000000"/>
          <w:kern w:val="0"/>
          <w:sz w:val="24"/>
        </w:rPr>
        <w:t xml:space="preserve">月 </w:t>
      </w:r>
      <w:r>
        <w:rPr>
          <w:rFonts w:hint="eastAsia" w:ascii="宋体" w:hAnsi="宋体" w:cs="宋体"/>
          <w:color w:val="000000"/>
          <w:kern w:val="0"/>
          <w:sz w:val="24"/>
          <w:lang w:val="en-US" w:eastAsia="zh-CN"/>
        </w:rPr>
        <w:t xml:space="preserve"> </w:t>
      </w:r>
      <w:r>
        <w:rPr>
          <w:rFonts w:hint="eastAsia" w:ascii="宋体" w:hAnsi="宋体" w:cs="宋体"/>
          <w:color w:val="000000"/>
          <w:kern w:val="0"/>
          <w:sz w:val="24"/>
        </w:rPr>
        <w:t xml:space="preserve"> 日</w:t>
      </w:r>
    </w:p>
    <w:sectPr>
      <w:pgSz w:w="11906" w:h="16838"/>
      <w:pgMar w:top="1440" w:right="1800" w:bottom="1440" w:left="1800" w:header="851" w:footer="992" w:gutter="0"/>
      <w:cols w:space="720"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汉仪书宋二KW"/>
    <w:panose1 w:val="02010600030101010101"/>
    <w:charset w:val="86"/>
    <w:family w:val="auto"/>
    <w:pitch w:val="default"/>
    <w:sig w:usb0="00000000" w:usb1="00000000" w:usb2="0000001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90204"/>
    <w:charset w:val="01"/>
    <w:family w:val="swiss"/>
    <w:pitch w:val="default"/>
    <w:sig w:usb0="E0000AFF" w:usb1="00007843" w:usb2="00000001" w:usb3="00000000" w:csb0="400001BF" w:csb1="DFF70000"/>
  </w:font>
  <w:font w:name="黑体">
    <w:altName w:val="汉仪中黑KW"/>
    <w:panose1 w:val="02010609060101010101"/>
    <w:charset w:val="86"/>
    <w:family w:val="auto"/>
    <w:pitch w:val="default"/>
    <w:sig w:usb0="800002BF" w:usb1="38CF7CFA" w:usb2="00000016" w:usb3="00000000" w:csb0="00040001" w:csb1="00000000"/>
  </w:font>
  <w:font w:name="Courier New">
    <w:panose1 w:val="02070609020205090404"/>
    <w:charset w:val="01"/>
    <w:family w:val="modern"/>
    <w:pitch w:val="default"/>
    <w:sig w:usb0="E0000AFF" w:usb1="40007843" w:usb2="00000001" w:usb3="00000000" w:csb0="400001BF" w:csb1="DFF70000"/>
  </w:font>
  <w:font w:name="Symbol">
    <w:altName w:val="Kingsoft Sign"/>
    <w:panose1 w:val="05050102010706020507"/>
    <w:charset w:val="02"/>
    <w:family w:val="roman"/>
    <w:pitch w:val="default"/>
    <w:sig w:usb0="00000000" w:usb1="00000000" w:usb2="00000000" w:usb3="00000000" w:csb0="80000000" w:csb1="00000000"/>
  </w:font>
  <w:font w:name="Calibri">
    <w:altName w:val="Helvetica Neue"/>
    <w:panose1 w:val="020F0502020204030204"/>
    <w:charset w:val="00"/>
    <w:family w:val="swiss"/>
    <w:pitch w:val="default"/>
    <w:sig w:usb0="00000000" w:usb1="00000000" w:usb2="00000001" w:usb3="00000000" w:csb0="0000019F" w:csb1="00000000"/>
  </w:font>
  <w:font w:name="汉仪书宋二KW">
    <w:panose1 w:val="00020600040101010101"/>
    <w:charset w:val="86"/>
    <w:family w:val="auto"/>
    <w:pitch w:val="default"/>
    <w:sig w:usb0="A00002BF" w:usb1="18EF7CFA" w:usb2="00000016" w:usb3="00000000" w:csb0="00040000" w:csb1="00000000"/>
  </w:font>
  <w:font w:name="汉仪中黑KW">
    <w:panose1 w:val="00020600040101010101"/>
    <w:charset w:val="86"/>
    <w:family w:val="auto"/>
    <w:pitch w:val="default"/>
    <w:sig w:usb0="A00002BF" w:usb1="18EF7CFA" w:usb2="00000016" w:usb3="00000000" w:csb0="00040000" w:csb1="00000000"/>
  </w:font>
  <w:font w:name="Kingsoft Sign">
    <w:panose1 w:val="05050102010706020507"/>
    <w:charset w:val="00"/>
    <w:family w:val="auto"/>
    <w:pitch w:val="default"/>
    <w:sig w:usb0="00000000" w:usb1="10000000" w:usb2="00000000" w:usb3="00000000" w:csb0="00000001" w:csb1="00000000"/>
  </w:font>
  <w:font w:name="Helvetica Neue">
    <w:panose1 w:val="02000503000000020004"/>
    <w:charset w:val="00"/>
    <w:family w:val="auto"/>
    <w:pitch w:val="default"/>
    <w:sig w:usb0="E50002FF" w:usb1="500079DB" w:usb2="00000010" w:usb3="00000000" w:csb0="00000000"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97"/>
  <w:bordersDoNotSurroundHeader w:val="0"/>
  <w:bordersDoNotSurroundFooter w:val="0"/>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cumentProtection w:enforcement="0"/>
  <w:defaultTabStop w:val="420"/>
  <w:hyphenationZone w:val="360"/>
  <w:drawingGridVerticalSpacing w:val="156"/>
  <w:displayHorizontalDrawingGridEvery w:val="1"/>
  <w:displayVerticalDrawingGridEvery w:val="1"/>
  <w:noPunctuationKerning w:val="1"/>
  <w:characterSpacingControl w:val="compressPunctuation"/>
  <w:compat>
    <w:spaceForUL/>
    <w:balanceSingleByteDoubleByteWidth/>
    <w:doNotLeaveBackslashAlone/>
    <w:ulTrailSpace/>
    <w:doNotExpandShiftReturn/>
    <w:adjustLineHeightInTable/>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AB7C03"/>
    <w:rsid w:val="00841643"/>
    <w:rsid w:val="00AB7C03"/>
    <w:rsid w:val="00B6027B"/>
    <w:rsid w:val="00B64050"/>
    <w:rsid w:val="00F11EFB"/>
    <w:rsid w:val="05BCE231"/>
    <w:rsid w:val="1D7F4B10"/>
    <w:rsid w:val="273597F4"/>
    <w:rsid w:val="34FE1408"/>
    <w:rsid w:val="3BBEDB76"/>
    <w:rsid w:val="3FD78EA2"/>
    <w:rsid w:val="3FF9B7DD"/>
    <w:rsid w:val="3FFFC153"/>
    <w:rsid w:val="5DBF55FB"/>
    <w:rsid w:val="60B747CB"/>
    <w:rsid w:val="6DDFC513"/>
    <w:rsid w:val="6FBF123D"/>
    <w:rsid w:val="6FDB1E87"/>
    <w:rsid w:val="72FD7DA7"/>
    <w:rsid w:val="73DC7207"/>
    <w:rsid w:val="76AF857F"/>
    <w:rsid w:val="7739EBCF"/>
    <w:rsid w:val="77A7BC25"/>
    <w:rsid w:val="77ED8FDB"/>
    <w:rsid w:val="77F7C408"/>
    <w:rsid w:val="79DD602E"/>
    <w:rsid w:val="7AEE1F14"/>
    <w:rsid w:val="7AFFE4FF"/>
    <w:rsid w:val="7BF3B793"/>
    <w:rsid w:val="7D76F257"/>
    <w:rsid w:val="7EEE89FD"/>
    <w:rsid w:val="7FBFE1E3"/>
    <w:rsid w:val="7FF68FEE"/>
    <w:rsid w:val="91E454B6"/>
    <w:rsid w:val="9FEF1E75"/>
    <w:rsid w:val="9FFED6C3"/>
    <w:rsid w:val="ABDD31AE"/>
    <w:rsid w:val="AFBBFA15"/>
    <w:rsid w:val="AFFF5A5D"/>
    <w:rsid w:val="BFBBE488"/>
    <w:rsid w:val="BFF55FB6"/>
    <w:rsid w:val="DB9D1FB9"/>
    <w:rsid w:val="DD5FB6B0"/>
    <w:rsid w:val="E7FC5A4D"/>
    <w:rsid w:val="EA7F6D7F"/>
    <w:rsid w:val="EE9E2F16"/>
    <w:rsid w:val="F365EA70"/>
    <w:rsid w:val="F757B0E5"/>
    <w:rsid w:val="FAFED9D7"/>
    <w:rsid w:val="FB37A67B"/>
    <w:rsid w:val="FEFFD999"/>
    <w:rsid w:val="FF27D166"/>
    <w:rsid w:val="FF2F3BAF"/>
    <w:rsid w:val="FFDD3BA1"/>
  </w:rsids>
  <m:mathPr>
    <m:brkBin m:val="before"/>
    <m:brkBinSub m:val="--"/>
    <m:smallFrac m:val="0"/>
    <m:dispDef/>
    <m:lMargin m:val="0"/>
    <m:rMargin m:val="0"/>
    <m:defJc m:val="centerGroup"/>
    <m:wrapIndent m:val="1440"/>
    <m:intLim m:val="subSup"/>
    <m:naryLim m:val="undOvr"/>
  </m:mathPr>
  <w:uiCompat97To2003/>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2"/>
    </o:shapelayout>
  </w:shapeDefaul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qFormat="1" w:unhideWhenUsed="0" w:uiPriority="0" w:semiHidden="0" w:name="header"/>
    <w:lsdException w:qFormat="1"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jc w:val="both"/>
    </w:pPr>
    <w:rPr>
      <w:rFonts w:ascii="Times New Roman" w:hAnsi="Times New Roman" w:eastAsia="宋体" w:cs="Times New Roman"/>
      <w:kern w:val="2"/>
      <w:sz w:val="21"/>
      <w:szCs w:val="24"/>
      <w:lang w:val="en-US" w:eastAsia="zh-CN" w:bidi="ar-SA"/>
    </w:rPr>
  </w:style>
  <w:style w:type="character" w:default="1" w:styleId="5">
    <w:name w:val="Default Paragraph Font"/>
    <w:semiHidden/>
    <w:qFormat/>
    <w:uiPriority w:val="0"/>
  </w:style>
  <w:style w:type="table" w:default="1" w:styleId="4">
    <w:name w:val="Normal Table"/>
    <w:semiHidden/>
    <w:qFormat/>
    <w:uiPriority w:val="0"/>
    <w:tblPr>
      <w:tblCellMar>
        <w:top w:w="0" w:type="dxa"/>
        <w:left w:w="108" w:type="dxa"/>
        <w:bottom w:w="0" w:type="dxa"/>
        <w:right w:w="108" w:type="dxa"/>
      </w:tblCellMar>
    </w:tblPr>
  </w:style>
  <w:style w:type="paragraph" w:styleId="2">
    <w:name w:val="footer"/>
    <w:basedOn w:val="1"/>
    <w:link w:val="6"/>
    <w:qFormat/>
    <w:uiPriority w:val="0"/>
    <w:pPr>
      <w:tabs>
        <w:tab w:val="center" w:pos="4153"/>
        <w:tab w:val="right" w:pos="8306"/>
      </w:tabs>
      <w:snapToGrid w:val="0"/>
      <w:jc w:val="left"/>
    </w:pPr>
    <w:rPr>
      <w:sz w:val="18"/>
      <w:szCs w:val="18"/>
    </w:rPr>
  </w:style>
  <w:style w:type="paragraph" w:styleId="3">
    <w:name w:val="header"/>
    <w:basedOn w:val="1"/>
    <w:link w:val="7"/>
    <w:qFormat/>
    <w:uiPriority w:val="0"/>
    <w:pPr>
      <w:tabs>
        <w:tab w:val="center" w:pos="4153"/>
        <w:tab w:val="right" w:pos="8306"/>
      </w:tabs>
      <w:snapToGrid w:val="0"/>
      <w:jc w:val="center"/>
    </w:pPr>
    <w:rPr>
      <w:sz w:val="18"/>
      <w:szCs w:val="18"/>
    </w:rPr>
  </w:style>
  <w:style w:type="character" w:customStyle="1" w:styleId="6">
    <w:name w:val="页脚 字符"/>
    <w:link w:val="2"/>
    <w:qFormat/>
    <w:uiPriority w:val="0"/>
    <w:rPr>
      <w:kern w:val="2"/>
      <w:sz w:val="18"/>
      <w:szCs w:val="18"/>
    </w:rPr>
  </w:style>
  <w:style w:type="character" w:customStyle="1" w:styleId="7">
    <w:name w:val="页眉 字符"/>
    <w:link w:val="3"/>
    <w:qFormat/>
    <w:uiPriority w:val="0"/>
    <w:rPr>
      <w:kern w:val="2"/>
      <w:sz w:val="18"/>
      <w:szCs w:val="18"/>
    </w:rPr>
  </w:style>
</w:styles>
</file>

<file path=word/_rels/document.xml.rels><?xml version="1.0" encoding="UTF-8" standalone="yes"?>
<Relationships xmlns="http://schemas.openxmlformats.org/package/2006/relationships"><Relationship Id="rId5" Type="http://schemas.openxmlformats.org/officeDocument/2006/relationships/fontTable" Target="fontTable.xml"/><Relationship Id="rId4" Type="http://schemas.openxmlformats.org/officeDocument/2006/relationships/image" Target="media/image1.png"/><Relationship Id="rId3"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游ゴシック Light"/>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Company>MC SYSTEM</Company>
  <Pages>2</Pages>
  <Words>712</Words>
  <Characters>771</Characters>
  <Lines>77</Lines>
  <Paragraphs>64</Paragraphs>
  <TotalTime>11</TotalTime>
  <ScaleCrop>false</ScaleCrop>
  <LinksUpToDate>false</LinksUpToDate>
  <CharactersWithSpaces>1419</CharactersWithSpaces>
  <Application>WPS Office_12.1.28496.28496_F1E327BC-269C-435d-A152-05C5408002CA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2014-11-26T09:29:00Z</dcterms:created>
  <dc:creator>周秀玲</dc:creator>
  <cp:lastModifiedBy>陈野菲</cp:lastModifiedBy>
  <dcterms:modified xsi:type="dcterms:W3CDTF">2026-09-21T15:49:50Z</dcterms:modified>
  <dc:title>附件1</dc:title>
  <cp:revision>3</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2052-12.1.28496.28496</vt:lpwstr>
  </property>
  <property fmtid="{D5CDD505-2E9C-101B-9397-08002B2CF9AE}" pid="3" name="ICV">
    <vt:lpwstr>DD6219F62D9D87CAFCDAB06AE6EF8CDE_43</vt:lpwstr>
  </property>
</Properties>
</file>