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FE966">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2353B452">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r>
        <w:rPr>
          <w:rFonts w:ascii="宋体" w:hAnsi="宋体" w:cs="宋体"/>
          <w:color w:val="000000"/>
          <w:kern w:val="0"/>
          <w:sz w:val="27"/>
          <w:szCs w:val="27"/>
        </w:rPr>
        <w:t> </w:t>
      </w:r>
    </w:p>
    <w:p w14:paraId="344D95D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5418F4E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791A60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14B14ADD">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4A18DE35">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36880D80">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58497646">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1EB9B05C">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4713176B">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2B74B5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0854DDD8">
            <w:pPr>
              <w:widowControl/>
              <w:spacing w:line="375" w:lineRule="atLeast"/>
              <w:ind w:firstLine="480" w:firstLineChars="200"/>
              <w:jc w:val="left"/>
              <w:rPr>
                <w:rFonts w:hint="eastAsia" w:ascii="宋体" w:hAnsi="宋体" w:cs="宋体"/>
                <w:kern w:val="0"/>
                <w:sz w:val="24"/>
              </w:rPr>
            </w:pPr>
            <w:r>
              <w:rPr>
                <w:rFonts w:hint="eastAsia" w:ascii="宋体" w:hAnsi="宋体" w:cs="宋体"/>
                <w:kern w:val="0"/>
                <w:sz w:val="24"/>
              </w:rPr>
              <w:t>技术部</w:t>
            </w:r>
          </w:p>
          <w:p w14:paraId="3AF11837">
            <w:pPr>
              <w:widowControl/>
              <w:spacing w:line="375" w:lineRule="atLeast"/>
              <w:ind w:firstLine="240" w:firstLineChars="100"/>
              <w:jc w:val="left"/>
              <w:rPr>
                <w:rFonts w:hint="eastAsia" w:ascii="宋体" w:hAnsi="宋体" w:cs="宋体"/>
                <w:kern w:val="0"/>
                <w:sz w:val="24"/>
              </w:rPr>
            </w:pPr>
            <w:r>
              <w:rPr>
                <w:rFonts w:hint="eastAsia" w:ascii="宋体" w:hAnsi="宋体" w:cs="宋体"/>
                <w:kern w:val="0"/>
                <w:sz w:val="24"/>
                <w:lang w:val="en-US" w:eastAsia="zh-CN"/>
              </w:rPr>
              <w:t>驻外</w:t>
            </w:r>
            <w:r>
              <w:rPr>
                <w:rFonts w:hint="eastAsia" w:ascii="宋体" w:hAnsi="宋体" w:cs="宋体"/>
                <w:kern w:val="0"/>
                <w:sz w:val="24"/>
              </w:rPr>
              <w:t>技术员</w:t>
            </w:r>
          </w:p>
          <w:p w14:paraId="422E8DE6">
            <w:pPr>
              <w:widowControl/>
              <w:spacing w:line="375" w:lineRule="atLeast"/>
              <w:jc w:val="left"/>
              <w:rPr>
                <w:rFonts w:hint="eastAsia" w:ascii="宋体" w:hAnsi="宋体" w:cs="宋体"/>
                <w:kern w:val="0"/>
                <w:sz w:val="24"/>
                <w:lang w:eastAsia="zh-CN"/>
              </w:rPr>
            </w:pPr>
            <w:r>
              <w:rPr>
                <w:rFonts w:hint="eastAsia" w:ascii="宋体" w:hAnsi="宋体" w:cs="宋体"/>
                <w:kern w:val="0"/>
                <w:sz w:val="24"/>
                <w:lang w:eastAsia="zh-CN"/>
              </w:rPr>
              <w:t>（</w:t>
            </w:r>
            <w:r>
              <w:rPr>
                <w:rFonts w:hint="eastAsia" w:ascii="宋体" w:hAnsi="宋体" w:cs="宋体"/>
                <w:kern w:val="0"/>
                <w:sz w:val="24"/>
                <w:lang w:val="en-US" w:eastAsia="zh-CN"/>
              </w:rPr>
              <w:t>安徽恒林</w:t>
            </w:r>
            <w:r>
              <w:rPr>
                <w:rFonts w:hint="eastAsia" w:ascii="宋体" w:hAnsi="宋体" w:cs="宋体"/>
                <w:kern w:val="0"/>
                <w:sz w:val="24"/>
                <w:lang w:eastAsia="zh-CN"/>
              </w:rPr>
              <w:t>）</w:t>
            </w:r>
          </w:p>
          <w:p w14:paraId="0B8607AA">
            <w:pPr>
              <w:widowControl/>
              <w:spacing w:line="375" w:lineRule="atLeast"/>
              <w:ind w:firstLine="240" w:firstLineChars="100"/>
              <w:jc w:val="left"/>
              <w:rPr>
                <w:rFonts w:hint="eastAsia" w:ascii="宋体" w:hAnsi="宋体" w:cs="宋体"/>
                <w:kern w:val="0"/>
                <w:sz w:val="24"/>
                <w:lang w:val="en-US" w:eastAsia="zh-CN"/>
              </w:rPr>
            </w:pPr>
            <w:r>
              <w:rPr>
                <w:rFonts w:hint="eastAsia" w:ascii="宋体" w:hAnsi="宋体" w:cs="宋体"/>
                <w:kern w:val="0"/>
                <w:sz w:val="24"/>
                <w:lang w:eastAsia="zh-CN"/>
              </w:rPr>
              <w:t>（</w:t>
            </w:r>
            <w:r>
              <w:rPr>
                <w:rFonts w:hint="eastAsia" w:ascii="宋体" w:hAnsi="宋体" w:cs="宋体"/>
                <w:kern w:val="0"/>
                <w:sz w:val="24"/>
                <w:lang w:val="en-US" w:eastAsia="zh-CN"/>
              </w:rPr>
              <w:t>上岗前）</w:t>
            </w:r>
          </w:p>
          <w:p w14:paraId="7740DC8B">
            <w:pPr>
              <w:widowControl/>
              <w:spacing w:line="375" w:lineRule="atLeast"/>
              <w:jc w:val="left"/>
              <w:rPr>
                <w:rFonts w:hint="eastAsia" w:ascii="宋体" w:hAnsi="宋体" w:eastAsia="宋体" w:cs="宋体"/>
                <w:kern w:val="0"/>
                <w:sz w:val="24"/>
                <w:lang w:eastAsia="zh-CN"/>
              </w:rPr>
            </w:pPr>
          </w:p>
          <w:p w14:paraId="4C47E23E">
            <w:pPr>
              <w:widowControl/>
              <w:spacing w:line="375" w:lineRule="atLeast"/>
              <w:jc w:val="left"/>
              <w:rPr>
                <w:rFonts w:ascii="宋体" w:hAnsi="宋体" w:cs="宋体"/>
                <w:kern w:val="0"/>
                <w:sz w:val="24"/>
              </w:rPr>
            </w:pPr>
          </w:p>
        </w:tc>
        <w:tc>
          <w:tcPr>
            <w:tcW w:w="1411" w:type="dxa"/>
            <w:noWrap w:val="0"/>
            <w:tcMar>
              <w:top w:w="0" w:type="dxa"/>
              <w:left w:w="108" w:type="dxa"/>
              <w:bottom w:w="0" w:type="dxa"/>
              <w:right w:w="108" w:type="dxa"/>
            </w:tcMar>
            <w:vAlign w:val="center"/>
          </w:tcPr>
          <w:p w14:paraId="0FC2B465">
            <w:pPr>
              <w:widowControl/>
              <w:spacing w:line="375" w:lineRule="atLeast"/>
              <w:jc w:val="left"/>
              <w:rPr>
                <w:rFonts w:hint="default" w:ascii="宋体" w:hAnsi="宋体" w:eastAsia="宋体" w:cs="宋体"/>
                <w:w w:val="99"/>
                <w:sz w:val="20"/>
                <w:szCs w:val="20"/>
                <w:lang w:val="en-US" w:eastAsia="zh-CN"/>
              </w:rPr>
            </w:pPr>
            <w:r>
              <w:rPr>
                <w:rFonts w:hint="eastAsia" w:ascii="宋体" w:hAnsi="宋体" w:cs="宋体"/>
                <w:w w:val="99"/>
                <w:sz w:val="20"/>
                <w:szCs w:val="20"/>
                <w:lang w:val="en-US" w:eastAsia="zh-CN"/>
              </w:rPr>
              <w:t>木粉尘，丙烯酸，高温，噪声</w:t>
            </w:r>
          </w:p>
        </w:tc>
        <w:tc>
          <w:tcPr>
            <w:tcW w:w="2385" w:type="dxa"/>
            <w:noWrap w:val="0"/>
            <w:tcMar>
              <w:top w:w="0" w:type="dxa"/>
              <w:left w:w="108" w:type="dxa"/>
              <w:bottom w:w="0" w:type="dxa"/>
              <w:right w:w="108" w:type="dxa"/>
            </w:tcMar>
            <w:vAlign w:val="center"/>
          </w:tcPr>
          <w:p w14:paraId="53B3C26F">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w w:val="99"/>
                <w:sz w:val="20"/>
                <w:szCs w:val="20"/>
              </w:rPr>
              <w:t>木粉尘</w:t>
            </w:r>
            <w:r>
              <w:rPr>
                <w:rFonts w:hint="eastAsia" w:ascii="宋体" w:hAnsi="宋体" w:eastAsia="宋体" w:cs="宋体"/>
                <w:b/>
                <w:bCs/>
                <w:w w:val="99"/>
                <w:sz w:val="20"/>
                <w:szCs w:val="20"/>
                <w:lang w:eastAsia="zh-CN"/>
              </w:rPr>
              <w:t>（</w:t>
            </w:r>
            <w:r>
              <w:rPr>
                <w:rFonts w:hint="eastAsia" w:ascii="宋体" w:hAnsi="宋体" w:eastAsia="宋体" w:cs="宋体"/>
                <w:b/>
                <w:bCs/>
                <w:w w:val="99"/>
                <w:sz w:val="20"/>
                <w:szCs w:val="20"/>
                <w:lang w:val="en-US" w:eastAsia="zh-CN"/>
              </w:rPr>
              <w:t>有机粉尘</w:t>
            </w:r>
            <w:r>
              <w:rPr>
                <w:rFonts w:hint="eastAsia" w:ascii="宋体" w:hAnsi="宋体" w:eastAsia="宋体" w:cs="宋体"/>
                <w:b/>
                <w:bCs/>
                <w:w w:val="99"/>
                <w:sz w:val="20"/>
                <w:szCs w:val="20"/>
                <w:lang w:eastAsia="zh-CN"/>
              </w:rPr>
              <w:t>）：</w:t>
            </w:r>
          </w:p>
          <w:p w14:paraId="0C990F3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a) 致喘物过敏和支气管哮喘；</w:t>
            </w:r>
          </w:p>
          <w:p w14:paraId="15BE027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b) 慢性阻塞性肺疾病；</w:t>
            </w:r>
          </w:p>
          <w:p w14:paraId="14EEB690">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c) 慢性间质性肺疾病；</w:t>
            </w:r>
          </w:p>
          <w:p w14:paraId="7923A0B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d) 伴肺功能损害的疾病；</w:t>
            </w:r>
          </w:p>
          <w:p w14:paraId="67A4052E">
            <w:pPr>
              <w:keepNext w:val="0"/>
              <w:keepLines w:val="0"/>
              <w:widowControl/>
              <w:suppressLineNumbers w:val="0"/>
              <w:jc w:val="left"/>
              <w:rPr>
                <w:rFonts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e) 伴气道高反应的过敏性鼻炎。</w:t>
            </w:r>
            <w:r>
              <w:rPr>
                <w:rFonts w:ascii="宋体" w:hAnsi="宋体" w:eastAsia="宋体" w:cs="宋体"/>
                <w:color w:val="000000"/>
                <w:kern w:val="0"/>
                <w:sz w:val="21"/>
                <w:szCs w:val="21"/>
                <w:lang w:val="en-US" w:eastAsia="zh-CN" w:bidi="ar"/>
              </w:rPr>
              <w:t xml:space="preserve"> </w:t>
            </w:r>
          </w:p>
          <w:p w14:paraId="013CC736">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6DED67C9">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a) 500 Hz、1000 Hz和2000 Hz中任一频率纯音气导听阈＞25 dBHL的永久性感音神经性听力损失；</w:t>
            </w:r>
          </w:p>
          <w:p w14:paraId="0F5A823F">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b) 高频段3000 Hz、4000 Hz、6000 Hz双耳平均听阈≥40 dBHL，且较好耳语频（500 Hz、1000 Hz</w:t>
            </w:r>
          </w:p>
          <w:p w14:paraId="497BC6FF">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和2000 Hz）和高频（4000 Hz）听阈加权值≥26 dBHL（按GBZ 49）；</w:t>
            </w:r>
          </w:p>
          <w:p w14:paraId="07E7A2F5">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c) 任一耳传导性听力损失，语频平均听阈≥41 dBHL。</w:t>
            </w:r>
          </w:p>
          <w:p w14:paraId="52A42276">
            <w:pPr>
              <w:keepNext w:val="0"/>
              <w:keepLines w:val="0"/>
              <w:widowControl/>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丙烯酸：</w:t>
            </w:r>
          </w:p>
          <w:p w14:paraId="46D8195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GBZ188未做说明</w:t>
            </w:r>
          </w:p>
          <w:p w14:paraId="0AC5CF35">
            <w:pPr>
              <w:keepNext w:val="0"/>
              <w:keepLines w:val="0"/>
              <w:widowControl/>
              <w:suppressLineNumbers w:val="0"/>
              <w:jc w:val="left"/>
              <w:rPr>
                <w:rFonts w:hint="default"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高温：</w:t>
            </w:r>
          </w:p>
          <w:p w14:paraId="18E5E263">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a) 未控制的2级及以上高血压；</w:t>
            </w:r>
          </w:p>
          <w:p w14:paraId="28AFD0A0">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b) 慢性肾脏病；</w:t>
            </w:r>
          </w:p>
          <w:p w14:paraId="6B634F11">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c) 未控制的甲状腺功能亢进症；</w:t>
            </w:r>
          </w:p>
          <w:p w14:paraId="22A47EC8">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d) 未控制的糖尿病；</w:t>
            </w:r>
          </w:p>
          <w:p w14:paraId="5CB4ECC0">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e) 全身瘢痕面积≥20%以上（伤残等级达八级）；</w:t>
            </w:r>
          </w:p>
          <w:p w14:paraId="3D9519D4">
            <w:pPr>
              <w:keepNext w:val="0"/>
              <w:keepLines w:val="0"/>
              <w:widowControl/>
              <w:suppressLineNumbers w:val="0"/>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f) 癫痫；</w:t>
            </w:r>
          </w:p>
          <w:p w14:paraId="4D8B0BB7">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g) 病理性心律失常。</w:t>
            </w:r>
          </w:p>
        </w:tc>
        <w:tc>
          <w:tcPr>
            <w:tcW w:w="1639" w:type="dxa"/>
            <w:noWrap w:val="0"/>
            <w:tcMar>
              <w:top w:w="0" w:type="dxa"/>
              <w:left w:w="108" w:type="dxa"/>
              <w:bottom w:w="0" w:type="dxa"/>
              <w:right w:w="108" w:type="dxa"/>
            </w:tcMar>
            <w:vAlign w:val="center"/>
          </w:tcPr>
          <w:p w14:paraId="35E7CC21">
            <w:pPr>
              <w:widowControl/>
              <w:spacing w:line="375" w:lineRule="atLeast"/>
              <w:jc w:val="left"/>
              <w:rPr>
                <w:rFonts w:hint="default" w:ascii="宋体" w:hAnsi="宋体" w:eastAsia="宋体" w:cs="宋体"/>
                <w:kern w:val="0"/>
                <w:szCs w:val="21"/>
                <w:lang w:val="en-US" w:eastAsia="zh-CN"/>
              </w:rPr>
            </w:pPr>
          </w:p>
          <w:p w14:paraId="4437C903">
            <w:pPr>
              <w:widowControl/>
              <w:spacing w:line="375" w:lineRule="atLeast"/>
              <w:jc w:val="left"/>
              <w:rPr>
                <w:rFonts w:ascii="宋体" w:hAnsi="宋体" w:cs="宋体"/>
                <w:kern w:val="0"/>
                <w:sz w:val="24"/>
              </w:rPr>
            </w:pPr>
            <w:r>
              <w:rPr>
                <w:rFonts w:hint="eastAsia" w:ascii="宋体" w:hAnsi="宋体" w:cs="宋体"/>
                <w:kern w:val="0"/>
                <w:szCs w:val="21"/>
              </w:rPr>
              <w:t>GBZ188-20</w:t>
            </w:r>
            <w:r>
              <w:rPr>
                <w:rFonts w:hint="eastAsia" w:ascii="宋体" w:hAnsi="宋体" w:cs="宋体"/>
                <w:kern w:val="0"/>
                <w:szCs w:val="21"/>
                <w:lang w:val="en-US" w:eastAsia="zh-CN"/>
              </w:rPr>
              <w:t>25</w:t>
            </w:r>
            <w:r>
              <w:rPr>
                <w:rFonts w:hint="eastAsia" w:ascii="宋体" w:hAnsi="宋体" w:cs="宋体"/>
                <w:kern w:val="0"/>
                <w:szCs w:val="21"/>
              </w:rPr>
              <w:t>对职业健康检查目标疾病（职业病）未做说明</w:t>
            </w:r>
          </w:p>
        </w:tc>
        <w:tc>
          <w:tcPr>
            <w:tcW w:w="1402" w:type="dxa"/>
            <w:noWrap w:val="0"/>
            <w:tcMar>
              <w:top w:w="0" w:type="dxa"/>
              <w:left w:w="108" w:type="dxa"/>
              <w:bottom w:w="0" w:type="dxa"/>
              <w:right w:w="108" w:type="dxa"/>
            </w:tcMar>
            <w:vAlign w:val="center"/>
          </w:tcPr>
          <w:p w14:paraId="18B9417A">
            <w:pPr>
              <w:widowControl/>
              <w:spacing w:line="375" w:lineRule="atLeast"/>
              <w:jc w:val="left"/>
              <w:rPr>
                <w:rFonts w:ascii="宋体" w:hAnsi="宋体" w:cs="宋体"/>
                <w:color w:val="000000"/>
                <w:kern w:val="0"/>
                <w:sz w:val="24"/>
              </w:rPr>
            </w:pPr>
            <w:r>
              <w:rPr>
                <w:rFonts w:hint="eastAsia" w:ascii="宋体" w:hAnsi="宋体" w:cs="宋体"/>
                <w:kern w:val="0"/>
                <w:szCs w:val="21"/>
              </w:rPr>
              <w:t>工作服、安全鞋、防毒口罩、防护眼镜、防护手套</w:t>
            </w:r>
            <w:r>
              <w:rPr>
                <w:rFonts w:hint="eastAsia" w:ascii="宋体" w:hAnsi="宋体" w:cs="宋体"/>
                <w:kern w:val="0"/>
                <w:szCs w:val="21"/>
                <w:lang w:eastAsia="zh-CN"/>
              </w:rPr>
              <w:t>、</w:t>
            </w:r>
            <w:r>
              <w:rPr>
                <w:rFonts w:hint="eastAsia" w:ascii="宋体" w:hAnsi="宋体" w:cs="宋体"/>
                <w:kern w:val="0"/>
                <w:szCs w:val="21"/>
              </w:rPr>
              <w:t>防护耳塞</w:t>
            </w:r>
          </w:p>
        </w:tc>
      </w:tr>
    </w:tbl>
    <w:p w14:paraId="015EB6DD">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4346EEFE">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24A1CF05">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0D3A04EE">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421E0144">
      <w:pPr>
        <w:widowControl/>
        <w:spacing w:line="375" w:lineRule="atLeast"/>
        <w:ind w:firstLine="662"/>
        <w:jc w:val="left"/>
        <w:rPr>
          <w:rFonts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174674BC">
      <w:pPr>
        <w:widowControl/>
        <w:spacing w:line="375" w:lineRule="atLeast"/>
        <w:ind w:firstLine="662"/>
        <w:jc w:val="left"/>
        <w:rPr>
          <w:rFonts w:hint="eastAsia" w:ascii="宋体" w:hAnsi="宋体" w:cs="宋体"/>
          <w:color w:val="000000"/>
          <w:kern w:val="0"/>
          <w:sz w:val="24"/>
        </w:rPr>
      </w:pPr>
    </w:p>
    <w:p w14:paraId="1306DAB0">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甲方签字（签章）                                   乙方（签字）</w:t>
      </w:r>
    </w:p>
    <w:p w14:paraId="603CB35D">
      <w:pPr>
        <w:widowControl/>
        <w:spacing w:line="375" w:lineRule="atLeast"/>
        <w:ind w:firstLine="662"/>
        <w:jc w:val="left"/>
        <w:rPr>
          <w:rFonts w:hint="eastAsia" w:ascii="宋体" w:hAnsi="宋体" w:cs="宋体"/>
          <w:color w:val="000000"/>
          <w:kern w:val="0"/>
          <w:sz w:val="24"/>
        </w:rPr>
      </w:pPr>
      <w:r>
        <w:rPr>
          <w:rFonts w:hint="eastAsia" w:ascii="宋体" w:hAnsi="宋体" w:cs="宋体"/>
          <w:color w:val="000000"/>
          <w:kern w:val="0"/>
          <w:sz w:val="24"/>
        </w:rPr>
        <w:t xml:space="preserve"> </w:t>
      </w:r>
      <w:r>
        <w:rPr>
          <w:lang/>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9387205</wp:posOffset>
            </wp:positionV>
            <wp:extent cx="701040" cy="417195"/>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clrChange>
                        <a:clrFrom>
                          <a:srgbClr val="FFFFFF"/>
                        </a:clrFrom>
                        <a:clrTo>
                          <a:srgbClr val="FFFFFF">
                            <a:alpha val="0"/>
                          </a:srgbClr>
                        </a:clrTo>
                      </a:clrChange>
                    </a:blip>
                    <a:srcRect l="26820" t="47018" r="51422" b="31389"/>
                    <a:stretch>
                      <a:fillRect/>
                    </a:stretch>
                  </pic:blipFill>
                  <pic:spPr>
                    <a:xfrm>
                      <a:off x="0" y="0"/>
                      <a:ext cx="701040" cy="417195"/>
                    </a:xfrm>
                    <a:prstGeom prst="rect">
                      <a:avLst/>
                    </a:prstGeom>
                    <a:noFill/>
                    <a:ln>
                      <a:noFill/>
                    </a:ln>
                  </pic:spPr>
                </pic:pic>
              </a:graphicData>
            </a:graphic>
          </wp:anchor>
        </w:drawing>
      </w:r>
      <w:r>
        <w:rPr>
          <w:rFonts w:hint="eastAsia" w:ascii="宋体" w:hAnsi="宋体" w:cs="宋体"/>
          <w:color w:val="000000"/>
          <w:kern w:val="0"/>
          <w:sz w:val="24"/>
        </w:rPr>
        <w:t xml:space="preserve">                                                   </w:t>
      </w:r>
    </w:p>
    <w:p w14:paraId="44B468EF">
      <w:pPr>
        <w:widowControl/>
        <w:spacing w:line="375" w:lineRule="atLeast"/>
        <w:ind w:firstLine="662"/>
        <w:jc w:val="left"/>
        <w:rPr>
          <w:rFonts w:hint="eastAsia"/>
        </w:rPr>
      </w:pPr>
      <w:r>
        <w:rPr>
          <w:rFonts w:hint="eastAsia" w:ascii="宋体" w:hAnsi="宋体" w:cs="宋体"/>
          <w:color w:val="000000"/>
          <w:kern w:val="0"/>
          <w:sz w:val="24"/>
        </w:rPr>
        <w:t xml:space="preserve">年  月  日                                    </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年</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 xml:space="preserve">月 </w:t>
      </w:r>
      <w:r>
        <w:rPr>
          <w:rFonts w:hint="eastAsia" w:ascii="宋体" w:hAnsi="宋体" w:cs="宋体"/>
          <w:color w:val="000000"/>
          <w:kern w:val="0"/>
          <w:sz w:val="24"/>
          <w:lang w:val="en-US" w:eastAsia="zh-CN"/>
        </w:rPr>
        <w:t xml:space="preserve">  </w:t>
      </w:r>
      <w:r>
        <w:rPr>
          <w:rFonts w:hint="eastAsia" w:ascii="宋体" w:hAnsi="宋体" w:cs="宋体"/>
          <w:color w:val="000000"/>
          <w:kern w:val="0"/>
          <w:sz w:val="24"/>
        </w:rPr>
        <w:t xml:space="preserve">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841643"/>
    <w:rsid w:val="00AB7C03"/>
    <w:rsid w:val="00B6027B"/>
    <w:rsid w:val="00B64050"/>
    <w:rsid w:val="00F11EFB"/>
    <w:rsid w:val="1D7F4B10"/>
    <w:rsid w:val="263E6528"/>
    <w:rsid w:val="273597F4"/>
    <w:rsid w:val="34FE1408"/>
    <w:rsid w:val="3BBEDB76"/>
    <w:rsid w:val="3FD78EA2"/>
    <w:rsid w:val="4FDB0389"/>
    <w:rsid w:val="5DBF55FB"/>
    <w:rsid w:val="60B747CB"/>
    <w:rsid w:val="6DDFC513"/>
    <w:rsid w:val="6FBF123D"/>
    <w:rsid w:val="6FDB1E87"/>
    <w:rsid w:val="72FD7DA7"/>
    <w:rsid w:val="73DC7207"/>
    <w:rsid w:val="76AF857F"/>
    <w:rsid w:val="77A7BC25"/>
    <w:rsid w:val="77ED8FDB"/>
    <w:rsid w:val="77F7C408"/>
    <w:rsid w:val="79DD602E"/>
    <w:rsid w:val="7AEE1F14"/>
    <w:rsid w:val="7AFFE4FF"/>
    <w:rsid w:val="7BF3B793"/>
    <w:rsid w:val="7D76F257"/>
    <w:rsid w:val="7EEE89FD"/>
    <w:rsid w:val="7FBFE1E3"/>
    <w:rsid w:val="8FFDC271"/>
    <w:rsid w:val="91E454B6"/>
    <w:rsid w:val="9FEF1E75"/>
    <w:rsid w:val="9FFED6C3"/>
    <w:rsid w:val="ABDD31AE"/>
    <w:rsid w:val="AFFF5A5D"/>
    <w:rsid w:val="BFBBE488"/>
    <w:rsid w:val="CFEB3654"/>
    <w:rsid w:val="DB9D1FB9"/>
    <w:rsid w:val="DFAF3B71"/>
    <w:rsid w:val="EA7F6D7F"/>
    <w:rsid w:val="EE9E2F16"/>
    <w:rsid w:val="EFEDAB66"/>
    <w:rsid w:val="F365EA70"/>
    <w:rsid w:val="F757B0E5"/>
    <w:rsid w:val="FAFED9D7"/>
    <w:rsid w:val="FB37A67B"/>
    <w:rsid w:val="FEFFD999"/>
    <w:rsid w:val="FF27D166"/>
    <w:rsid w:val="FFDD3B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tabs>
        <w:tab w:val="center" w:pos="4153"/>
        <w:tab w:val="right" w:pos="8306"/>
      </w:tabs>
      <w:snapToGrid w:val="0"/>
      <w:jc w:val="center"/>
    </w:pPr>
    <w:rPr>
      <w:sz w:val="18"/>
      <w:szCs w:val="18"/>
    </w:rPr>
  </w:style>
  <w:style w:type="character" w:customStyle="1" w:styleId="6">
    <w:name w:val="页脚 字符"/>
    <w:link w:val="2"/>
    <w:uiPriority w:val="0"/>
    <w:rPr>
      <w:kern w:val="2"/>
      <w:sz w:val="18"/>
      <w:szCs w:val="18"/>
    </w:rPr>
  </w:style>
  <w:style w:type="character" w:customStyle="1" w:styleId="7">
    <w:name w:val="页眉 字符"/>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712</Words>
  <Characters>771</Characters>
  <Lines>77</Lines>
  <Paragraphs>64</Paragraphs>
  <TotalTime>0</TotalTime>
  <ScaleCrop>false</ScaleCrop>
  <LinksUpToDate>false</LinksUpToDate>
  <CharactersWithSpaces>1419</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2014-11-26T17:29:00Z</dcterms:created>
  <dc:creator>周秀玲</dc:creator>
  <cp:lastModifiedBy>陈野菲</cp:lastModifiedBy>
  <dcterms:modified xsi:type="dcterms:W3CDTF">2026-09-21T15:20:31Z</dcterms:modified>
  <dc:title>附件1</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7886EB3DEF481C8DBFDAB06ABFBD3BA1_43</vt:lpwstr>
  </property>
</Properties>
</file>