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78613">
      <w:pPr>
        <w:widowControl/>
        <w:spacing w:line="375" w:lineRule="atLeast"/>
        <w:jc w:val="center"/>
        <w:rPr>
          <w:rFonts w:ascii="宋体" w:hAnsi="宋体" w:cs="宋体"/>
          <w:color w:val="000000"/>
          <w:kern w:val="0"/>
          <w:sz w:val="36"/>
          <w:szCs w:val="36"/>
        </w:rPr>
      </w:pPr>
      <w:bookmarkStart w:id="0" w:name="_GoBack"/>
      <w:bookmarkEnd w:id="0"/>
      <w:r>
        <w:rPr>
          <w:rFonts w:hint="eastAsia" w:ascii="宋体" w:hAnsi="宋体" w:cs="宋体"/>
          <w:color w:val="000000"/>
          <w:kern w:val="0"/>
          <w:sz w:val="36"/>
          <w:szCs w:val="36"/>
        </w:rPr>
        <w:t>慧瑞环保涂料（上海）有限公司</w:t>
      </w:r>
    </w:p>
    <w:p w14:paraId="453D7759">
      <w:pPr>
        <w:widowControl/>
        <w:spacing w:line="375" w:lineRule="atLeast"/>
        <w:jc w:val="center"/>
        <w:rPr>
          <w:rFonts w:ascii="宋体" w:hAnsi="宋体" w:cs="宋体"/>
          <w:color w:val="000000"/>
          <w:kern w:val="0"/>
          <w:sz w:val="27"/>
          <w:szCs w:val="27"/>
        </w:rPr>
      </w:pPr>
      <w:r>
        <w:rPr>
          <w:rFonts w:ascii="宋体" w:hAnsi="宋体" w:cs="宋体"/>
          <w:color w:val="000000"/>
          <w:kern w:val="0"/>
          <w:sz w:val="36"/>
          <w:szCs w:val="36"/>
        </w:rPr>
        <w:t>职业病危害告知书</w:t>
      </w:r>
    </w:p>
    <w:p w14:paraId="5E68903E">
      <w:pPr>
        <w:widowControl/>
        <w:spacing w:line="375" w:lineRule="atLeast"/>
        <w:jc w:val="center"/>
        <w:rPr>
          <w:rFonts w:ascii="宋体" w:hAnsi="宋体" w:cs="宋体"/>
          <w:color w:val="000000"/>
          <w:kern w:val="0"/>
          <w:sz w:val="27"/>
          <w:szCs w:val="27"/>
        </w:rPr>
      </w:pPr>
      <w:r>
        <w:rPr>
          <w:rFonts w:ascii="宋体" w:hAnsi="宋体" w:cs="宋体"/>
          <w:color w:val="000000"/>
          <w:kern w:val="0"/>
          <w:sz w:val="27"/>
          <w:szCs w:val="27"/>
        </w:rPr>
        <w:t> </w:t>
      </w:r>
    </w:p>
    <w:p w14:paraId="0F9763DD">
      <w:pPr>
        <w:widowControl/>
        <w:spacing w:line="375" w:lineRule="atLeast"/>
        <w:ind w:firstLine="480" w:firstLineChars="200"/>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lang w:val="en-US" w:eastAsia="zh-CN"/>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5DD878E2">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（一）所在工作岗位、可能产生的职业病危害、后果及职业病防护措施：</w:t>
      </w:r>
    </w:p>
    <w:tbl>
      <w:tblPr>
        <w:tblStyle w:val="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33649F0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1D09E85F">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5DB6445C">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081E1BBE">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04A4F59E">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0DC41152">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64A0F156">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3EBFA8E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7BE1672C">
            <w:pPr>
              <w:widowControl/>
              <w:spacing w:line="375" w:lineRule="atLeast"/>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生产部</w:t>
            </w:r>
          </w:p>
          <w:p w14:paraId="1DA582E1">
            <w:pPr>
              <w:widowControl/>
              <w:spacing w:line="375" w:lineRule="atLeast"/>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操作工</w:t>
            </w:r>
          </w:p>
          <w:p w14:paraId="7E40ECB1">
            <w:pPr>
              <w:widowControl/>
              <w:spacing w:line="375" w:lineRule="atLeast"/>
              <w:ind w:firstLine="240" w:firstLineChars="100"/>
              <w:jc w:val="left"/>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（上岗前）</w:t>
            </w:r>
          </w:p>
          <w:p w14:paraId="50FF47B2">
            <w:pPr>
              <w:widowControl/>
              <w:spacing w:line="375" w:lineRule="atLeast"/>
              <w:ind w:firstLine="240" w:firstLineChars="100"/>
              <w:jc w:val="left"/>
              <w:rPr>
                <w:rFonts w:hint="default" w:ascii="宋体" w:hAnsi="宋体" w:eastAsia="宋体" w:cs="宋体"/>
                <w:kern w:val="0"/>
                <w:sz w:val="24"/>
                <w:lang w:val="en-US" w:eastAsia="zh-CN"/>
              </w:rPr>
            </w:pPr>
          </w:p>
        </w:tc>
        <w:tc>
          <w:tcPr>
            <w:tcW w:w="1411" w:type="dxa"/>
            <w:noWrap w:val="0"/>
            <w:tcMar>
              <w:top w:w="0" w:type="dxa"/>
              <w:left w:w="108" w:type="dxa"/>
              <w:bottom w:w="0" w:type="dxa"/>
              <w:right w:w="108" w:type="dxa"/>
            </w:tcMar>
            <w:vAlign w:val="center"/>
          </w:tcPr>
          <w:p w14:paraId="0EB92428">
            <w:pPr>
              <w:spacing w:line="219" w:lineRule="exact"/>
              <w:jc w:val="both"/>
              <w:rPr>
                <w:rFonts w:hint="eastAsia" w:ascii="宋体" w:hAnsi="宋体" w:eastAsia="宋体" w:cs="宋体"/>
                <w:w w:val="99"/>
                <w:sz w:val="20"/>
                <w:szCs w:val="20"/>
              </w:rPr>
            </w:pPr>
          </w:p>
          <w:p w14:paraId="2D3F089B">
            <w:pPr>
              <w:keepNext w:val="0"/>
              <w:keepLines w:val="0"/>
              <w:widowControl/>
              <w:suppressLineNumbers w:val="0"/>
              <w:jc w:val="left"/>
              <w:rPr>
                <w:rFonts w:hint="eastAsia" w:ascii="宋体" w:hAnsi="宋体" w:eastAsia="宋体" w:cs="宋体"/>
                <w:w w:val="99"/>
                <w:sz w:val="20"/>
                <w:szCs w:val="20"/>
              </w:rPr>
            </w:pPr>
            <w:r>
              <w:rPr>
                <w:rFonts w:hint="eastAsia" w:ascii="宋体" w:hAnsi="宋体" w:eastAsia="宋体" w:cs="宋体"/>
                <w:w w:val="99"/>
                <w:sz w:val="20"/>
                <w:szCs w:val="20"/>
              </w:rPr>
              <w:t>滑石粉尘、二氧化钛粉尘、长石粉尘、苯乙烯和丙烯酸聚合物乳液、丙烯酸共聚物乳液、氢氧化铵、3-烯丙氧基-1-羟基-1-丙磺酸钠、硫酸钠、烯丙基缩水甘油醚、颜料白6（二丙二醇甲醚）、颜料红170（二乙二醇甲醚）、颜料黄42（二乙二醇甲醚）、颜料黑7（二丙二醇甲醚）、丙二醇、双酚A环氧二丙烯酸酯、苯基双(2,4,6-三甲基苯甲酰基)氧化膦、丙氧基丙三醇三丙烯酸酯、三羟甲基丙烷三丙烯酸酯、一缩二丙二醇一甲醚，矿物油、亚麻籽油、蜂蜡</w:t>
            </w:r>
          </w:p>
        </w:tc>
        <w:tc>
          <w:tcPr>
            <w:tcW w:w="2385" w:type="dxa"/>
            <w:noWrap w:val="0"/>
            <w:tcMar>
              <w:top w:w="0" w:type="dxa"/>
              <w:left w:w="108" w:type="dxa"/>
              <w:bottom w:w="0" w:type="dxa"/>
              <w:right w:w="108" w:type="dxa"/>
            </w:tcMar>
            <w:vAlign w:val="center"/>
          </w:tcPr>
          <w:p w14:paraId="0C2D09EC">
            <w:pPr>
              <w:keepNext w:val="0"/>
              <w:keepLines w:val="0"/>
              <w:widowControl/>
              <w:suppressLineNumbers w:val="0"/>
              <w:jc w:val="left"/>
              <w:rPr>
                <w:rFonts w:hint="eastAsia" w:ascii="宋体" w:hAnsi="宋体" w:eastAsia="宋体" w:cs="宋体"/>
                <w:w w:val="99"/>
                <w:sz w:val="18"/>
                <w:szCs w:val="18"/>
                <w:lang w:eastAsia="zh-CN"/>
              </w:rPr>
            </w:pPr>
            <w:r>
              <w:rPr>
                <w:rFonts w:hint="eastAsia" w:ascii="宋体" w:hAnsi="宋体" w:eastAsia="宋体" w:cs="宋体"/>
                <w:b/>
                <w:bCs/>
                <w:w w:val="99"/>
                <w:sz w:val="18"/>
                <w:szCs w:val="18"/>
              </w:rPr>
              <w:t>滑石粉尘</w:t>
            </w:r>
            <w:r>
              <w:rPr>
                <w:rFonts w:hint="eastAsia" w:ascii="宋体" w:hAnsi="宋体" w:eastAsia="宋体" w:cs="宋体"/>
                <w:w w:val="99"/>
                <w:sz w:val="18"/>
                <w:szCs w:val="18"/>
                <w:lang w:eastAsia="zh-CN"/>
              </w:rPr>
              <w:t>：</w:t>
            </w:r>
          </w:p>
          <w:p w14:paraId="4F0CD806">
            <w:pPr>
              <w:keepNext w:val="0"/>
              <w:keepLines w:val="0"/>
              <w:widowControl/>
              <w:numPr>
                <w:ilvl w:val="0"/>
                <w:numId w:val="1"/>
              </w:numPr>
              <w:suppressLineNumbers w:val="0"/>
              <w:jc w:val="left"/>
              <w:rPr>
                <w:sz w:val="21"/>
                <w:szCs w:val="21"/>
              </w:rPr>
            </w:pPr>
            <w:r>
              <w:rPr>
                <w:sz w:val="21"/>
                <w:szCs w:val="21"/>
              </w:rPr>
              <w:t>活动性肺结核病;</w:t>
            </w:r>
            <w:r>
              <w:rPr>
                <w:sz w:val="21"/>
                <w:szCs w:val="21"/>
              </w:rPr>
              <w:br w:type="textWrapping"/>
            </w:r>
            <w:r>
              <w:rPr>
                <w:rFonts w:hint="default" w:ascii="Times New Roman" w:hAnsi="Times New Roman" w:cs="Times New Roman"/>
                <w:sz w:val="21"/>
                <w:szCs w:val="21"/>
              </w:rPr>
              <w:t xml:space="preserve">b) </w:t>
            </w:r>
            <w:r>
              <w:rPr>
                <w:sz w:val="21"/>
                <w:szCs w:val="21"/>
              </w:rPr>
              <w:t>慢性阻塞性肺病;</w:t>
            </w:r>
            <w:r>
              <w:rPr>
                <w:sz w:val="21"/>
                <w:szCs w:val="21"/>
              </w:rPr>
              <w:br w:type="textWrapping"/>
            </w:r>
            <w:r>
              <w:rPr>
                <w:rFonts w:hint="default" w:ascii="Times New Roman" w:hAnsi="Times New Roman" w:cs="Times New Roman"/>
                <w:sz w:val="21"/>
                <w:szCs w:val="21"/>
              </w:rPr>
              <w:t xml:space="preserve">c) </w:t>
            </w:r>
            <w:r>
              <w:rPr>
                <w:sz w:val="21"/>
                <w:szCs w:val="21"/>
              </w:rPr>
              <w:t>慢性间质性肺病;</w:t>
            </w:r>
            <w:r>
              <w:rPr>
                <w:sz w:val="21"/>
                <w:szCs w:val="21"/>
              </w:rPr>
              <w:br w:type="textWrapping"/>
            </w:r>
            <w:r>
              <w:rPr>
                <w:rFonts w:hint="default" w:ascii="Times New Roman" w:hAnsi="Times New Roman" w:cs="Times New Roman"/>
                <w:sz w:val="21"/>
                <w:szCs w:val="21"/>
              </w:rPr>
              <w:t xml:space="preserve">d) </w:t>
            </w:r>
            <w:r>
              <w:rPr>
                <w:sz w:val="21"/>
                <w:szCs w:val="21"/>
              </w:rPr>
              <w:t>伴肺功能损害的疾病。</w:t>
            </w:r>
          </w:p>
          <w:p w14:paraId="5A0827FE">
            <w:pPr>
              <w:keepNext w:val="0"/>
              <w:keepLines w:val="0"/>
              <w:widowControl/>
              <w:numPr>
                <w:ilvl w:val="0"/>
                <w:numId w:val="0"/>
              </w:numPr>
              <w:suppressLineNumbers w:val="0"/>
              <w:jc w:val="left"/>
              <w:rPr>
                <w:rFonts w:ascii="宋体" w:hAnsi="宋体" w:eastAsia="宋体" w:cs="宋体"/>
                <w:color w:val="000000"/>
                <w:kern w:val="0"/>
                <w:sz w:val="20"/>
                <w:szCs w:val="20"/>
                <w:lang w:val="en-US" w:eastAsia="zh-CN" w:bidi="ar"/>
              </w:rPr>
            </w:pPr>
            <w:r>
              <w:rPr>
                <w:sz w:val="21"/>
                <w:szCs w:val="21"/>
              </w:rPr>
              <w:t xml:space="preserve"> </w:t>
            </w:r>
            <w:r>
              <w:rPr>
                <w:rFonts w:ascii="宋体" w:hAnsi="宋体" w:eastAsia="宋体" w:cs="宋体"/>
                <w:color w:val="000000"/>
                <w:kern w:val="0"/>
                <w:sz w:val="20"/>
                <w:szCs w:val="20"/>
                <w:lang w:val="en-US" w:eastAsia="zh-CN" w:bidi="ar"/>
              </w:rPr>
              <w:t xml:space="preserve"> </w:t>
            </w:r>
          </w:p>
          <w:p w14:paraId="6A3E09E9">
            <w:pPr>
              <w:keepNext w:val="0"/>
              <w:keepLines w:val="0"/>
              <w:widowControl/>
              <w:suppressLineNumbers w:val="0"/>
              <w:jc w:val="left"/>
              <w:rPr>
                <w:rFonts w:hint="eastAsia" w:ascii="宋体" w:hAnsi="宋体" w:eastAsia="宋体" w:cs="宋体"/>
                <w:w w:val="99"/>
                <w:sz w:val="18"/>
                <w:szCs w:val="18"/>
                <w:lang w:val="en-US" w:eastAsia="zh-CN"/>
              </w:rPr>
            </w:pPr>
          </w:p>
          <w:p w14:paraId="64B90A71">
            <w:pPr>
              <w:keepNext w:val="0"/>
              <w:keepLines w:val="0"/>
              <w:widowControl/>
              <w:suppressLineNumbers w:val="0"/>
              <w:jc w:val="left"/>
              <w:rPr>
                <w:rFonts w:hint="default" w:ascii="宋体" w:hAnsi="宋体" w:eastAsia="宋体" w:cs="宋体"/>
                <w:w w:val="99"/>
                <w:sz w:val="18"/>
                <w:szCs w:val="18"/>
                <w:lang w:val="en-US" w:eastAsia="zh-CN"/>
              </w:rPr>
            </w:pPr>
            <w:r>
              <w:rPr>
                <w:rFonts w:hint="eastAsia" w:ascii="宋体" w:hAnsi="宋体" w:eastAsia="宋体" w:cs="宋体"/>
                <w:color w:val="000000"/>
                <w:kern w:val="0"/>
                <w:sz w:val="20"/>
                <w:szCs w:val="20"/>
                <w:lang w:val="en-US" w:eastAsia="zh-CN" w:bidi="ar"/>
              </w:rPr>
              <w:t>其他信息，GBZ188-2025中未做说明。</w:t>
            </w:r>
          </w:p>
        </w:tc>
        <w:tc>
          <w:tcPr>
            <w:tcW w:w="1639" w:type="dxa"/>
            <w:noWrap w:val="0"/>
            <w:tcMar>
              <w:top w:w="0" w:type="dxa"/>
              <w:left w:w="108" w:type="dxa"/>
              <w:bottom w:w="0" w:type="dxa"/>
              <w:right w:w="108" w:type="dxa"/>
            </w:tcMar>
            <w:vAlign w:val="center"/>
          </w:tcPr>
          <w:p w14:paraId="3CBD37FB">
            <w:pPr>
              <w:keepNext w:val="0"/>
              <w:keepLines w:val="0"/>
              <w:widowControl/>
              <w:suppressLineNumbers w:val="0"/>
              <w:jc w:val="left"/>
              <w:rPr>
                <w:rFonts w:hint="eastAsia" w:ascii="宋体" w:hAnsi="宋体" w:eastAsia="宋体" w:cs="宋体"/>
                <w:w w:val="99"/>
                <w:sz w:val="18"/>
                <w:szCs w:val="18"/>
                <w:lang w:eastAsia="zh-CN"/>
              </w:rPr>
            </w:pPr>
            <w:r>
              <w:rPr>
                <w:rFonts w:hint="eastAsia" w:ascii="宋体" w:hAnsi="宋体" w:eastAsia="宋体" w:cs="宋体"/>
                <w:b/>
                <w:bCs/>
                <w:w w:val="99"/>
                <w:sz w:val="18"/>
                <w:szCs w:val="18"/>
              </w:rPr>
              <w:t>滑石粉尘</w:t>
            </w:r>
            <w:r>
              <w:rPr>
                <w:rFonts w:hint="eastAsia" w:ascii="宋体" w:hAnsi="宋体" w:eastAsia="宋体" w:cs="宋体"/>
                <w:w w:val="99"/>
                <w:sz w:val="18"/>
                <w:szCs w:val="18"/>
                <w:lang w:eastAsia="zh-CN"/>
              </w:rPr>
              <w:t>：</w:t>
            </w:r>
          </w:p>
          <w:p w14:paraId="2443C6BC">
            <w:pPr>
              <w:keepNext w:val="0"/>
              <w:keepLines w:val="0"/>
              <w:widowControl/>
              <w:suppressLineNumbers w:val="0"/>
              <w:jc w:val="left"/>
              <w:rPr>
                <w:rFonts w:hint="eastAsia" w:ascii="宋体" w:hAnsi="宋体" w:eastAsia="宋体" w:cs="宋体"/>
                <w:w w:val="99"/>
                <w:sz w:val="18"/>
                <w:szCs w:val="18"/>
                <w:lang w:eastAsia="zh-CN"/>
              </w:rPr>
            </w:pPr>
            <w:r>
              <w:rPr>
                <w:rFonts w:hint="eastAsia" w:ascii="宋体" w:hAnsi="宋体" w:eastAsia="宋体" w:cs="宋体"/>
                <w:w w:val="99"/>
                <w:sz w:val="18"/>
                <w:szCs w:val="18"/>
                <w:lang w:eastAsia="zh-CN"/>
              </w:rPr>
              <w:t>职业性炭黑尘肺、石墨尘肺、滑石尘肺、云母尘肺、水泥尘肺、铸工尘肺、陶工尘肺、</w:t>
            </w:r>
          </w:p>
          <w:p w14:paraId="722095C5">
            <w:pPr>
              <w:keepNext w:val="0"/>
              <w:keepLines w:val="0"/>
              <w:widowControl/>
              <w:suppressLineNumbers w:val="0"/>
              <w:jc w:val="left"/>
              <w:rPr>
                <w:rFonts w:hint="eastAsia" w:ascii="宋体" w:hAnsi="宋体" w:eastAsia="宋体" w:cs="宋体"/>
                <w:w w:val="99"/>
                <w:sz w:val="18"/>
                <w:szCs w:val="18"/>
                <w:lang w:eastAsia="zh-CN"/>
              </w:rPr>
            </w:pPr>
            <w:r>
              <w:rPr>
                <w:rFonts w:hint="eastAsia" w:ascii="宋体" w:hAnsi="宋体" w:eastAsia="宋体" w:cs="宋体"/>
                <w:w w:val="99"/>
                <w:sz w:val="18"/>
                <w:szCs w:val="18"/>
                <w:lang w:eastAsia="zh-CN"/>
              </w:rPr>
              <w:t>铝尘肺、电焊工尘肺、根据尘肺病诊断标准可诊断的其他尘肺病（按GBZ 70）；</w:t>
            </w:r>
          </w:p>
          <w:p w14:paraId="54E3F521">
            <w:pPr>
              <w:keepNext w:val="0"/>
              <w:keepLines w:val="0"/>
              <w:widowControl/>
              <w:suppressLineNumbers w:val="0"/>
              <w:jc w:val="left"/>
              <w:rPr>
                <w:rFonts w:hint="eastAsia" w:ascii="宋体" w:hAnsi="宋体" w:eastAsia="宋体" w:cs="宋体"/>
                <w:w w:val="99"/>
                <w:sz w:val="18"/>
                <w:szCs w:val="18"/>
                <w:lang w:eastAsia="zh-CN"/>
              </w:rPr>
            </w:pPr>
          </w:p>
          <w:p w14:paraId="05A69E40">
            <w:pPr>
              <w:keepNext w:val="0"/>
              <w:keepLines w:val="0"/>
              <w:widowControl/>
              <w:suppressLineNumbers w:val="0"/>
              <w:jc w:val="left"/>
              <w:rPr>
                <w:rFonts w:hint="eastAsia" w:ascii="宋体" w:hAnsi="宋体" w:eastAsia="宋体" w:cs="宋体"/>
                <w:w w:val="99"/>
                <w:sz w:val="18"/>
                <w:szCs w:val="18"/>
                <w:lang w:eastAsia="zh-CN"/>
              </w:rPr>
            </w:pPr>
          </w:p>
          <w:p w14:paraId="2D20AB34">
            <w:pPr>
              <w:widowControl/>
              <w:spacing w:line="375" w:lineRule="atLeast"/>
              <w:jc w:val="left"/>
              <w:rPr>
                <w:rFonts w:hint="eastAsia" w:ascii="宋体" w:hAnsi="宋体" w:cs="宋体"/>
                <w:kern w:val="0"/>
                <w:sz w:val="20"/>
                <w:szCs w:val="20"/>
                <w:lang w:val="en-US" w:eastAsia="zh-CN"/>
              </w:rPr>
            </w:pPr>
            <w:r>
              <w:rPr>
                <w:rFonts w:hint="eastAsia" w:ascii="宋体" w:hAnsi="宋体" w:cs="宋体"/>
                <w:kern w:val="0"/>
                <w:sz w:val="20"/>
                <w:szCs w:val="20"/>
                <w:lang w:val="en-US" w:eastAsia="zh-CN"/>
              </w:rPr>
              <w:t>除上述外，GBZ188-2025</w:t>
            </w:r>
          </w:p>
          <w:p w14:paraId="77821F36">
            <w:pPr>
              <w:widowControl/>
              <w:spacing w:line="375" w:lineRule="atLeast"/>
              <w:jc w:val="left"/>
              <w:rPr>
                <w:rFonts w:hint="default" w:ascii="宋体" w:hAnsi="宋体" w:cs="宋体"/>
                <w:kern w:val="0"/>
                <w:sz w:val="20"/>
                <w:szCs w:val="20"/>
                <w:lang w:val="en-US" w:eastAsia="zh-CN"/>
              </w:rPr>
            </w:pPr>
            <w:r>
              <w:rPr>
                <w:rFonts w:hint="eastAsia" w:ascii="宋体" w:hAnsi="宋体" w:cs="宋体"/>
                <w:kern w:val="0"/>
                <w:sz w:val="20"/>
                <w:szCs w:val="20"/>
                <w:lang w:val="en-US" w:eastAsia="zh-CN"/>
              </w:rPr>
              <w:t>对职业健康检查目标疾病（职业病）未做说明</w:t>
            </w:r>
          </w:p>
        </w:tc>
        <w:tc>
          <w:tcPr>
            <w:tcW w:w="1402" w:type="dxa"/>
            <w:noWrap w:val="0"/>
            <w:tcMar>
              <w:top w:w="0" w:type="dxa"/>
              <w:left w:w="108" w:type="dxa"/>
              <w:bottom w:w="0" w:type="dxa"/>
              <w:right w:w="108" w:type="dxa"/>
            </w:tcMar>
            <w:vAlign w:val="center"/>
          </w:tcPr>
          <w:p w14:paraId="4D005BFC">
            <w:pPr>
              <w:widowControl/>
              <w:spacing w:line="375" w:lineRule="atLeast"/>
              <w:jc w:val="left"/>
              <w:rPr>
                <w:rFonts w:hint="default" w:ascii="宋体" w:hAnsi="宋体" w:cs="宋体"/>
                <w:color w:val="000000"/>
                <w:kern w:val="0"/>
                <w:sz w:val="20"/>
                <w:szCs w:val="20"/>
                <w:lang w:val="en-US" w:eastAsia="zh-CN"/>
              </w:rPr>
            </w:pPr>
            <w:r>
              <w:rPr>
                <w:rFonts w:ascii="宋体" w:hAnsi="宋体" w:cs="宋体"/>
                <w:color w:val="000000"/>
                <w:kern w:val="0"/>
                <w:sz w:val="20"/>
                <w:szCs w:val="20"/>
              </w:rPr>
              <w:t>除尘装置</w:t>
            </w:r>
            <w:r>
              <w:rPr>
                <w:rFonts w:hint="eastAsia" w:ascii="宋体" w:hAnsi="宋体" w:cs="宋体"/>
                <w:color w:val="000000"/>
                <w:kern w:val="0"/>
                <w:sz w:val="20"/>
                <w:szCs w:val="20"/>
                <w:lang w:eastAsia="zh-CN"/>
              </w:rPr>
              <w:t>、</w:t>
            </w:r>
            <w:r>
              <w:rPr>
                <w:rFonts w:hint="eastAsia" w:ascii="宋体" w:hAnsi="宋体" w:eastAsia="宋体" w:cs="宋体"/>
                <w:color w:val="000000"/>
                <w:kern w:val="0"/>
                <w:sz w:val="20"/>
                <w:szCs w:val="20"/>
                <w:lang w:val="en-US" w:eastAsia="zh-CN"/>
              </w:rPr>
              <w:t>工作服、安全鞋、防毒口罩、防护眼镜、防护手套</w:t>
            </w:r>
          </w:p>
        </w:tc>
      </w:tr>
    </w:tbl>
    <w:p w14:paraId="49C27B5A">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0D5F717E">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3F488D28">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563D8BB4">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71ABB300">
      <w:pPr>
        <w:widowControl/>
        <w:spacing w:line="375" w:lineRule="atLeast"/>
        <w:ind w:firstLine="662"/>
        <w:jc w:val="left"/>
        <w:rPr>
          <w:rFonts w:hint="eastAsia"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34A4A20C">
      <w:pPr>
        <w:widowControl/>
        <w:spacing w:line="375" w:lineRule="atLeast"/>
        <w:ind w:firstLine="662"/>
        <w:jc w:val="left"/>
        <w:rPr>
          <w:rFonts w:hint="eastAsia" w:ascii="宋体" w:hAnsi="宋体" w:cs="宋体"/>
          <w:color w:val="000000"/>
          <w:kern w:val="0"/>
          <w:sz w:val="27"/>
          <w:szCs w:val="27"/>
        </w:rPr>
      </w:pPr>
    </w:p>
    <w:p w14:paraId="297F4FD5">
      <w:pPr>
        <w:widowControl/>
        <w:spacing w:line="375" w:lineRule="atLeast"/>
        <w:ind w:firstLine="662"/>
        <w:jc w:val="left"/>
        <w:rPr>
          <w:rFonts w:hint="default" w:ascii="宋体" w:hAnsi="宋体" w:eastAsia="宋体" w:cs="宋体"/>
          <w:color w:val="000000"/>
          <w:kern w:val="0"/>
          <w:sz w:val="27"/>
          <w:szCs w:val="27"/>
          <w:lang w:val="en-US" w:eastAsia="zh-CN"/>
        </w:rPr>
      </w:pPr>
      <w:r>
        <w:rPr>
          <w:rFonts w:ascii="宋体" w:hAnsi="宋体" w:cs="宋体"/>
          <w:color w:val="000000"/>
          <w:kern w:val="0"/>
          <w:sz w:val="24"/>
        </w:rPr>
        <w:t>甲方（签章）                     </w:t>
      </w:r>
      <w:r>
        <w:rPr>
          <w:rFonts w:hint="eastAsia" w:ascii="宋体" w:hAnsi="宋体" w:cs="宋体"/>
          <w:color w:val="000000"/>
          <w:kern w:val="0"/>
          <w:sz w:val="24"/>
          <w:lang w:val="en-US" w:eastAsia="zh-CN"/>
        </w:rPr>
        <w:t xml:space="preserve">           </w:t>
      </w:r>
      <w:r>
        <w:rPr>
          <w:rFonts w:ascii="宋体" w:hAnsi="宋体" w:cs="宋体"/>
          <w:color w:val="000000"/>
          <w:kern w:val="0"/>
          <w:sz w:val="24"/>
        </w:rPr>
        <w:t>  乙方（签字</w:t>
      </w:r>
      <w:r>
        <w:rPr>
          <w:rFonts w:hint="eastAsia" w:ascii="宋体" w:hAnsi="宋体" w:cs="宋体"/>
          <w:color w:val="000000"/>
          <w:kern w:val="0"/>
          <w:sz w:val="24"/>
          <w:lang w:eastAsia="zh-CN"/>
        </w:rPr>
        <w:t>）</w:t>
      </w:r>
    </w:p>
    <w:p w14:paraId="1159D0B8">
      <w:pPr>
        <w:widowControl/>
        <w:spacing w:line="375" w:lineRule="atLeast"/>
        <w:ind w:firstLine="662"/>
        <w:jc w:val="left"/>
        <w:rPr>
          <w:rFonts w:hint="eastAsia"/>
        </w:rPr>
      </w:pPr>
      <w:r>
        <w:rPr>
          <w:rFonts w:ascii="宋体" w:hAnsi="宋体" w:cs="宋体"/>
          <w:color w:val="000000"/>
          <w:kern w:val="0"/>
          <w:sz w:val="24"/>
        </w:rPr>
        <w:t> 年  月   日                 </w:t>
      </w:r>
      <w:r>
        <w:rPr>
          <w:rFonts w:hint="eastAsia" w:ascii="宋体" w:hAnsi="宋体" w:cs="宋体"/>
          <w:color w:val="000000"/>
          <w:kern w:val="0"/>
          <w:sz w:val="24"/>
          <w:lang w:val="en-US" w:eastAsia="zh-CN"/>
        </w:rPr>
        <w:t xml:space="preserve">       </w:t>
      </w:r>
      <w:r>
        <w:rPr>
          <w:rFonts w:ascii="宋体" w:hAnsi="宋体" w:cs="宋体"/>
          <w:color w:val="000000"/>
          <w:kern w:val="0"/>
          <w:sz w:val="24"/>
        </w:rPr>
        <w:t> </w:t>
      </w:r>
      <w:r>
        <w:rPr>
          <w:rFonts w:hint="eastAsia" w:ascii="宋体" w:hAnsi="宋体" w:cs="宋体"/>
          <w:color w:val="000000"/>
          <w:kern w:val="0"/>
          <w:sz w:val="24"/>
          <w:lang w:val="en-US" w:eastAsia="zh-CN"/>
        </w:rPr>
        <w:t xml:space="preserve">       </w:t>
      </w:r>
      <w:r>
        <w:rPr>
          <w:rFonts w:ascii="宋体" w:hAnsi="宋体" w:cs="宋体"/>
          <w:color w:val="000000"/>
          <w:kern w:val="0"/>
          <w:sz w:val="24"/>
        </w:rPr>
        <w:t>  </w:t>
      </w:r>
      <w:r>
        <w:rPr>
          <w:rFonts w:hint="eastAsia" w:ascii="宋体" w:hAnsi="宋体" w:cs="宋体"/>
          <w:color w:val="000000"/>
          <w:kern w:val="0"/>
          <w:sz w:val="24"/>
          <w:lang w:val="en-US" w:eastAsia="zh-CN"/>
        </w:rPr>
        <w:t xml:space="preserve"> </w:t>
      </w:r>
      <w:r>
        <w:rPr>
          <w:rFonts w:ascii="宋体" w:hAnsi="宋体" w:cs="宋体"/>
          <w:color w:val="000000"/>
          <w:kern w:val="0"/>
          <w:sz w:val="24"/>
        </w:rPr>
        <w:t>  年  月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62658"/>
    <w:multiLevelType w:val="singleLevel"/>
    <w:tmpl w:val="F7F62658"/>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AB7C03"/>
    <w:rsid w:val="1D7F4B10"/>
    <w:rsid w:val="273597F4"/>
    <w:rsid w:val="34FE1408"/>
    <w:rsid w:val="3BBEDB76"/>
    <w:rsid w:val="3BFF7786"/>
    <w:rsid w:val="3FD78EA2"/>
    <w:rsid w:val="5979B2F6"/>
    <w:rsid w:val="5BDF3D62"/>
    <w:rsid w:val="5DBF55FB"/>
    <w:rsid w:val="5E7F2B8D"/>
    <w:rsid w:val="60B747CB"/>
    <w:rsid w:val="6A7F83D0"/>
    <w:rsid w:val="6FBF123D"/>
    <w:rsid w:val="6FDB1E87"/>
    <w:rsid w:val="72FD7DA7"/>
    <w:rsid w:val="76AF857F"/>
    <w:rsid w:val="77A7BC25"/>
    <w:rsid w:val="7AEE1F14"/>
    <w:rsid w:val="7BF3B793"/>
    <w:rsid w:val="7D76F257"/>
    <w:rsid w:val="7FBFE1E3"/>
    <w:rsid w:val="91E454B6"/>
    <w:rsid w:val="9FEF1E75"/>
    <w:rsid w:val="9FFED6C3"/>
    <w:rsid w:val="AFDFC948"/>
    <w:rsid w:val="BFBBE488"/>
    <w:rsid w:val="DB9D1FB9"/>
    <w:rsid w:val="DDFFF975"/>
    <w:rsid w:val="E3A41B9D"/>
    <w:rsid w:val="E77E01ED"/>
    <w:rsid w:val="E9F7336F"/>
    <w:rsid w:val="EA7F6D7F"/>
    <w:rsid w:val="EE9E2F16"/>
    <w:rsid w:val="F365EA70"/>
    <w:rsid w:val="F757B0E5"/>
    <w:rsid w:val="FAFED9D7"/>
    <w:rsid w:val="FB37A67B"/>
    <w:rsid w:val="FC3CA875"/>
    <w:rsid w:val="FCF79D56"/>
    <w:rsid w:val="FEFFD999"/>
    <w:rsid w:val="FF27D166"/>
    <w:rsid w:val="FF876391"/>
    <w:rsid w:val="FFDD3B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MC SYSTEM</Company>
  <Pages>2</Pages>
  <Words>118</Words>
  <Characters>678</Characters>
  <Lines>5</Lines>
  <Paragraphs>1</Paragraphs>
  <TotalTime>4.33333333333333</TotalTime>
  <ScaleCrop>false</ScaleCrop>
  <LinksUpToDate>false</LinksUpToDate>
  <CharactersWithSpaces>795</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2014-11-25T09:29:00Z</dcterms:created>
  <dc:creator>周秀玲</dc:creator>
  <cp:lastModifiedBy>陈野菲</cp:lastModifiedBy>
  <dcterms:modified xsi:type="dcterms:W3CDTF">2026-09-21T15:23:43Z</dcterms:modified>
  <dc:title>附件1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93BB103DB867977E7FDBB06A741E162A_43</vt:lpwstr>
  </property>
</Properties>
</file>