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358A92">
      <w:pPr>
        <w:widowControl/>
        <w:spacing w:line="375" w:lineRule="atLeast"/>
        <w:jc w:val="center"/>
        <w:rPr>
          <w:rFonts w:ascii="宋体" w:hAnsi="宋体" w:cs="宋体"/>
          <w:color w:val="000000"/>
          <w:kern w:val="0"/>
          <w:sz w:val="36"/>
          <w:szCs w:val="36"/>
        </w:rPr>
      </w:pPr>
      <w:r>
        <w:rPr>
          <w:rFonts w:hint="eastAsia" w:ascii="宋体" w:hAnsi="宋体" w:cs="宋体"/>
          <w:color w:val="000000"/>
          <w:kern w:val="0"/>
          <w:sz w:val="36"/>
          <w:szCs w:val="36"/>
        </w:rPr>
        <w:t>慧瑞环保涂料（上海）有限公司</w:t>
      </w:r>
    </w:p>
    <w:p w14:paraId="3D57FDC1">
      <w:pPr>
        <w:widowControl/>
        <w:spacing w:line="375" w:lineRule="atLeast"/>
        <w:jc w:val="center"/>
        <w:rPr>
          <w:rFonts w:ascii="宋体" w:hAnsi="宋体" w:cs="宋体"/>
          <w:color w:val="000000"/>
          <w:kern w:val="0"/>
          <w:sz w:val="27"/>
          <w:szCs w:val="27"/>
        </w:rPr>
      </w:pPr>
      <w:r>
        <w:rPr>
          <w:rFonts w:ascii="宋体" w:hAnsi="宋体" w:cs="宋体"/>
          <w:color w:val="000000"/>
          <w:kern w:val="0"/>
          <w:sz w:val="36"/>
          <w:szCs w:val="36"/>
        </w:rPr>
        <w:t>职业病危害告知书</w:t>
      </w:r>
      <w:r>
        <w:rPr>
          <w:rFonts w:ascii="宋体" w:hAnsi="宋体" w:cs="宋体"/>
          <w:color w:val="000000"/>
          <w:kern w:val="0"/>
          <w:sz w:val="27"/>
          <w:szCs w:val="27"/>
        </w:rPr>
        <w:t> </w:t>
      </w:r>
    </w:p>
    <w:p w14:paraId="582AE38F">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根据《职业病防治法》第三十</w:t>
      </w:r>
      <w:r>
        <w:rPr>
          <w:rFonts w:hint="eastAsia" w:ascii="宋体" w:hAnsi="宋体" w:cs="宋体"/>
          <w:color w:val="000000"/>
          <w:kern w:val="0"/>
          <w:sz w:val="24"/>
        </w:rPr>
        <w:t>三</w:t>
      </w:r>
      <w:r>
        <w:rPr>
          <w:rFonts w:ascii="宋体" w:hAnsi="宋体" w:cs="宋体"/>
          <w:color w:val="000000"/>
          <w:kern w:val="0"/>
          <w:sz w:val="24"/>
        </w:rPr>
        <w:t>条的规定，用人单位（甲方）在与劳动者（乙方）订立劳动合同时应告知工作过程中可能产生的职业病危害及其后果、职业病防护措施和待遇等内容：</w:t>
      </w:r>
    </w:p>
    <w:p w14:paraId="42C3A999">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（一）所在工作岗位、可能产生的职业病危害、后果及职业病防护措施：</w:t>
      </w:r>
    </w:p>
    <w:tbl>
      <w:tblPr>
        <w:tblStyle w:val="4"/>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0" w:type="dxa"/>
          <w:bottom w:w="0" w:type="dxa"/>
          <w:right w:w="0" w:type="dxa"/>
        </w:tblCellMar>
      </w:tblPr>
      <w:tblGrid>
        <w:gridCol w:w="1685"/>
        <w:gridCol w:w="1411"/>
        <w:gridCol w:w="2385"/>
        <w:gridCol w:w="1639"/>
        <w:gridCol w:w="1402"/>
      </w:tblGrid>
      <w:tr w14:paraId="48321FC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769" w:hRule="atLeast"/>
          <w:jc w:val="center"/>
        </w:trPr>
        <w:tc>
          <w:tcPr>
            <w:tcW w:w="1685" w:type="dxa"/>
            <w:noWrap w:val="0"/>
            <w:tcMar>
              <w:top w:w="0" w:type="dxa"/>
              <w:left w:w="108" w:type="dxa"/>
              <w:bottom w:w="0" w:type="dxa"/>
              <w:right w:w="108" w:type="dxa"/>
            </w:tcMar>
            <w:vAlign w:val="center"/>
          </w:tcPr>
          <w:p w14:paraId="38D1C805">
            <w:pPr>
              <w:widowControl/>
              <w:spacing w:line="375" w:lineRule="atLeast"/>
              <w:jc w:val="center"/>
              <w:rPr>
                <w:rFonts w:ascii="宋体" w:hAnsi="宋体" w:cs="宋体"/>
                <w:kern w:val="0"/>
                <w:sz w:val="24"/>
              </w:rPr>
            </w:pPr>
            <w:r>
              <w:rPr>
                <w:rFonts w:ascii="宋体" w:hAnsi="宋体" w:cs="宋体"/>
                <w:color w:val="000000"/>
                <w:kern w:val="0"/>
                <w:sz w:val="24"/>
              </w:rPr>
              <w:t>所在部门及</w:t>
            </w:r>
          </w:p>
          <w:p w14:paraId="5A9185C7">
            <w:pPr>
              <w:widowControl/>
              <w:spacing w:line="375" w:lineRule="atLeast"/>
              <w:jc w:val="center"/>
              <w:rPr>
                <w:rFonts w:ascii="宋体" w:hAnsi="宋体" w:cs="宋体"/>
                <w:kern w:val="0"/>
                <w:sz w:val="24"/>
              </w:rPr>
            </w:pPr>
            <w:r>
              <w:rPr>
                <w:rFonts w:ascii="宋体" w:hAnsi="宋体" w:cs="宋体"/>
                <w:color w:val="000000"/>
                <w:kern w:val="0"/>
                <w:sz w:val="24"/>
              </w:rPr>
              <w:t>岗位名称</w:t>
            </w:r>
          </w:p>
        </w:tc>
        <w:tc>
          <w:tcPr>
            <w:tcW w:w="1411" w:type="dxa"/>
            <w:noWrap w:val="0"/>
            <w:tcMar>
              <w:top w:w="0" w:type="dxa"/>
              <w:left w:w="108" w:type="dxa"/>
              <w:bottom w:w="0" w:type="dxa"/>
              <w:right w:w="108" w:type="dxa"/>
            </w:tcMar>
            <w:vAlign w:val="center"/>
          </w:tcPr>
          <w:p w14:paraId="638A4BEF">
            <w:pPr>
              <w:widowControl/>
              <w:spacing w:line="375" w:lineRule="atLeast"/>
              <w:jc w:val="center"/>
              <w:rPr>
                <w:rFonts w:ascii="宋体" w:hAnsi="宋体" w:cs="宋体"/>
                <w:kern w:val="0"/>
                <w:sz w:val="24"/>
              </w:rPr>
            </w:pPr>
            <w:r>
              <w:rPr>
                <w:rFonts w:ascii="宋体" w:hAnsi="宋体" w:cs="宋体"/>
                <w:color w:val="000000"/>
                <w:kern w:val="0"/>
                <w:sz w:val="24"/>
              </w:rPr>
              <w:t>职业病危害因素</w:t>
            </w:r>
          </w:p>
        </w:tc>
        <w:tc>
          <w:tcPr>
            <w:tcW w:w="2385" w:type="dxa"/>
            <w:noWrap w:val="0"/>
            <w:tcMar>
              <w:top w:w="0" w:type="dxa"/>
              <w:left w:w="108" w:type="dxa"/>
              <w:bottom w:w="0" w:type="dxa"/>
              <w:right w:w="108" w:type="dxa"/>
            </w:tcMar>
            <w:vAlign w:val="center"/>
          </w:tcPr>
          <w:p w14:paraId="3C19D81A">
            <w:pPr>
              <w:widowControl/>
              <w:spacing w:line="375" w:lineRule="atLeast"/>
              <w:jc w:val="center"/>
              <w:rPr>
                <w:rFonts w:ascii="宋体" w:hAnsi="宋体" w:cs="宋体"/>
                <w:kern w:val="0"/>
                <w:sz w:val="24"/>
              </w:rPr>
            </w:pPr>
            <w:r>
              <w:rPr>
                <w:rFonts w:ascii="宋体" w:hAnsi="宋体" w:cs="宋体"/>
                <w:color w:val="000000"/>
                <w:kern w:val="0"/>
                <w:sz w:val="24"/>
              </w:rPr>
              <w:t>职业禁忌证</w:t>
            </w:r>
          </w:p>
        </w:tc>
        <w:tc>
          <w:tcPr>
            <w:tcW w:w="1639" w:type="dxa"/>
            <w:noWrap w:val="0"/>
            <w:tcMar>
              <w:top w:w="0" w:type="dxa"/>
              <w:left w:w="108" w:type="dxa"/>
              <w:bottom w:w="0" w:type="dxa"/>
              <w:right w:w="108" w:type="dxa"/>
            </w:tcMar>
            <w:vAlign w:val="center"/>
          </w:tcPr>
          <w:p w14:paraId="3C3A2BFE">
            <w:pPr>
              <w:widowControl/>
              <w:spacing w:line="375" w:lineRule="atLeast"/>
              <w:jc w:val="center"/>
              <w:rPr>
                <w:rFonts w:ascii="宋体" w:hAnsi="宋体" w:cs="宋体"/>
                <w:kern w:val="0"/>
                <w:sz w:val="24"/>
              </w:rPr>
            </w:pPr>
            <w:r>
              <w:rPr>
                <w:rFonts w:ascii="宋体" w:hAnsi="宋体" w:cs="宋体"/>
                <w:color w:val="000000"/>
                <w:kern w:val="0"/>
                <w:sz w:val="24"/>
              </w:rPr>
              <w:t>可能导致的职业病危害</w:t>
            </w:r>
          </w:p>
        </w:tc>
        <w:tc>
          <w:tcPr>
            <w:tcW w:w="1402" w:type="dxa"/>
            <w:noWrap w:val="0"/>
            <w:tcMar>
              <w:top w:w="0" w:type="dxa"/>
              <w:left w:w="108" w:type="dxa"/>
              <w:bottom w:w="0" w:type="dxa"/>
              <w:right w:w="108" w:type="dxa"/>
            </w:tcMar>
            <w:vAlign w:val="center"/>
          </w:tcPr>
          <w:p w14:paraId="7CD0E26B">
            <w:pPr>
              <w:widowControl/>
              <w:spacing w:line="375" w:lineRule="atLeast"/>
              <w:jc w:val="center"/>
              <w:rPr>
                <w:rFonts w:ascii="宋体" w:hAnsi="宋体" w:cs="宋体"/>
                <w:kern w:val="0"/>
                <w:sz w:val="24"/>
              </w:rPr>
            </w:pPr>
            <w:r>
              <w:rPr>
                <w:rFonts w:ascii="宋体" w:hAnsi="宋体" w:cs="宋体"/>
                <w:color w:val="000000"/>
                <w:kern w:val="0"/>
                <w:sz w:val="24"/>
              </w:rPr>
              <w:t>职业病防护措施</w:t>
            </w:r>
          </w:p>
        </w:tc>
      </w:tr>
      <w:tr w14:paraId="3F6A232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2142" w:hRule="atLeast"/>
          <w:jc w:val="center"/>
        </w:trPr>
        <w:tc>
          <w:tcPr>
            <w:tcW w:w="1685" w:type="dxa"/>
            <w:noWrap w:val="0"/>
            <w:tcMar>
              <w:top w:w="0" w:type="dxa"/>
              <w:left w:w="108" w:type="dxa"/>
              <w:bottom w:w="0" w:type="dxa"/>
              <w:right w:w="108" w:type="dxa"/>
            </w:tcMar>
            <w:vAlign w:val="center"/>
          </w:tcPr>
          <w:p w14:paraId="517DAA09">
            <w:pPr>
              <w:widowControl/>
              <w:spacing w:line="375" w:lineRule="atLeast"/>
              <w:ind w:firstLine="480" w:firstLineChars="200"/>
              <w:jc w:val="left"/>
              <w:rPr>
                <w:rFonts w:hint="eastAsia" w:ascii="宋体" w:hAnsi="宋体" w:cs="宋体"/>
                <w:kern w:val="0"/>
                <w:sz w:val="24"/>
              </w:rPr>
            </w:pPr>
            <w:r>
              <w:rPr>
                <w:rFonts w:hint="eastAsia" w:ascii="宋体" w:hAnsi="宋体" w:cs="宋体"/>
                <w:kern w:val="0"/>
                <w:sz w:val="24"/>
              </w:rPr>
              <w:t>技术部</w:t>
            </w:r>
          </w:p>
          <w:p w14:paraId="387085F7">
            <w:pPr>
              <w:widowControl/>
              <w:spacing w:line="375" w:lineRule="atLeast"/>
              <w:ind w:firstLine="240" w:firstLineChars="100"/>
              <w:jc w:val="left"/>
              <w:rPr>
                <w:rFonts w:hint="eastAsia" w:ascii="宋体" w:hAnsi="宋体" w:cs="宋体"/>
                <w:kern w:val="0"/>
                <w:sz w:val="24"/>
              </w:rPr>
            </w:pPr>
            <w:r>
              <w:rPr>
                <w:rFonts w:hint="eastAsia" w:ascii="宋体" w:hAnsi="宋体" w:cs="宋体"/>
                <w:kern w:val="0"/>
                <w:sz w:val="24"/>
                <w:lang w:val="en-US" w:eastAsia="zh-CN"/>
              </w:rPr>
              <w:t>驻外</w:t>
            </w:r>
            <w:r>
              <w:rPr>
                <w:rFonts w:hint="eastAsia" w:ascii="宋体" w:hAnsi="宋体" w:cs="宋体"/>
                <w:kern w:val="0"/>
                <w:sz w:val="24"/>
              </w:rPr>
              <w:t>技术员</w:t>
            </w:r>
          </w:p>
          <w:p w14:paraId="7739FC8F">
            <w:pPr>
              <w:widowControl/>
              <w:spacing w:line="375" w:lineRule="atLeast"/>
              <w:jc w:val="left"/>
              <w:rPr>
                <w:rFonts w:hint="eastAsia" w:ascii="宋体" w:hAnsi="宋体" w:cs="宋体"/>
                <w:kern w:val="0"/>
                <w:sz w:val="24"/>
                <w:lang w:val="en-US" w:eastAsia="zh-CN"/>
              </w:rPr>
            </w:pPr>
            <w:r>
              <w:rPr>
                <w:rFonts w:hint="eastAsia" w:ascii="宋体" w:hAnsi="宋体" w:cs="宋体"/>
                <w:kern w:val="0"/>
                <w:sz w:val="24"/>
                <w:lang w:eastAsia="zh-CN"/>
              </w:rPr>
              <w:t>（</w:t>
            </w:r>
            <w:r>
              <w:rPr>
                <w:rFonts w:hint="eastAsia" w:ascii="宋体" w:hAnsi="宋体" w:cs="宋体"/>
                <w:kern w:val="0"/>
                <w:sz w:val="24"/>
                <w:lang w:val="en-US" w:eastAsia="zh-CN"/>
              </w:rPr>
              <w:t>福建双羿）</w:t>
            </w:r>
          </w:p>
          <w:p w14:paraId="437A5514">
            <w:pPr>
              <w:widowControl/>
              <w:spacing w:line="375" w:lineRule="atLeast"/>
              <w:jc w:val="left"/>
              <w:rPr>
                <w:rFonts w:hint="default" w:ascii="宋体" w:hAnsi="宋体" w:cs="宋体"/>
                <w:kern w:val="0"/>
                <w:sz w:val="24"/>
                <w:lang w:val="en-US" w:eastAsia="zh-CN"/>
              </w:rPr>
            </w:pPr>
            <w:r>
              <w:rPr>
                <w:rFonts w:hint="eastAsia" w:ascii="宋体" w:hAnsi="宋体" w:cs="宋体"/>
                <w:kern w:val="0"/>
                <w:sz w:val="24"/>
                <w:lang w:val="en-US" w:eastAsia="zh-CN"/>
              </w:rPr>
              <w:t>（在岗期间）</w:t>
            </w:r>
          </w:p>
          <w:p w14:paraId="18C5F370">
            <w:pPr>
              <w:widowControl/>
              <w:spacing w:line="375" w:lineRule="atLeast"/>
              <w:jc w:val="left"/>
              <w:rPr>
                <w:rFonts w:ascii="宋体" w:hAnsi="宋体" w:cs="宋体"/>
                <w:kern w:val="0"/>
                <w:sz w:val="24"/>
              </w:rPr>
            </w:pPr>
          </w:p>
        </w:tc>
        <w:tc>
          <w:tcPr>
            <w:tcW w:w="1411" w:type="dxa"/>
            <w:noWrap w:val="0"/>
            <w:tcMar>
              <w:top w:w="0" w:type="dxa"/>
              <w:left w:w="108" w:type="dxa"/>
              <w:bottom w:w="0" w:type="dxa"/>
              <w:right w:w="108" w:type="dxa"/>
            </w:tcMar>
            <w:vAlign w:val="center"/>
          </w:tcPr>
          <w:p w14:paraId="1B6B3434">
            <w:pPr>
              <w:widowControl/>
              <w:spacing w:line="375" w:lineRule="atLeast"/>
              <w:jc w:val="left"/>
              <w:rPr>
                <w:rFonts w:hint="default" w:ascii="宋体" w:hAnsi="宋体" w:eastAsia="宋体" w:cs="宋体"/>
                <w:w w:val="99"/>
                <w:sz w:val="20"/>
                <w:szCs w:val="20"/>
                <w:lang w:val="en-US" w:eastAsia="zh-CN"/>
              </w:rPr>
            </w:pPr>
            <w:r>
              <w:rPr>
                <w:rFonts w:hint="eastAsia" w:ascii="宋体" w:hAnsi="宋体" w:cs="宋体"/>
                <w:w w:val="99"/>
                <w:sz w:val="20"/>
                <w:szCs w:val="20"/>
                <w:lang w:val="en-US" w:eastAsia="zh-CN"/>
              </w:rPr>
              <w:t>木粉尘，噪声，苯，甲苯，二甲苯</w:t>
            </w:r>
          </w:p>
        </w:tc>
        <w:tc>
          <w:tcPr>
            <w:tcW w:w="2385" w:type="dxa"/>
            <w:noWrap w:val="0"/>
            <w:tcMar>
              <w:top w:w="0" w:type="dxa"/>
              <w:left w:w="108" w:type="dxa"/>
              <w:bottom w:w="0" w:type="dxa"/>
              <w:right w:w="108" w:type="dxa"/>
            </w:tcMar>
            <w:vAlign w:val="center"/>
          </w:tcPr>
          <w:p w14:paraId="16766C28">
            <w:pPr>
              <w:keepNext w:val="0"/>
              <w:keepLines w:val="0"/>
              <w:widowControl/>
              <w:suppressLineNumbers w:val="0"/>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w w:val="99"/>
                <w:sz w:val="20"/>
                <w:szCs w:val="20"/>
              </w:rPr>
              <w:t>木粉尘</w:t>
            </w:r>
            <w:r>
              <w:rPr>
                <w:rFonts w:hint="eastAsia" w:ascii="宋体" w:hAnsi="宋体" w:eastAsia="宋体" w:cs="宋体"/>
                <w:b/>
                <w:bCs/>
                <w:w w:val="99"/>
                <w:sz w:val="20"/>
                <w:szCs w:val="20"/>
                <w:lang w:eastAsia="zh-CN"/>
              </w:rPr>
              <w:t>（</w:t>
            </w:r>
            <w:r>
              <w:rPr>
                <w:rFonts w:hint="eastAsia" w:ascii="宋体" w:hAnsi="宋体" w:eastAsia="宋体" w:cs="宋体"/>
                <w:b/>
                <w:bCs/>
                <w:w w:val="99"/>
                <w:sz w:val="20"/>
                <w:szCs w:val="20"/>
                <w:lang w:val="en-US" w:eastAsia="zh-CN"/>
              </w:rPr>
              <w:t>有机粉尘</w:t>
            </w:r>
            <w:r>
              <w:rPr>
                <w:rFonts w:hint="eastAsia" w:ascii="宋体" w:hAnsi="宋体" w:eastAsia="宋体" w:cs="宋体"/>
                <w:b/>
                <w:bCs/>
                <w:w w:val="99"/>
                <w:sz w:val="20"/>
                <w:szCs w:val="20"/>
                <w:lang w:eastAsia="zh-CN"/>
              </w:rPr>
              <w:t>）：</w:t>
            </w:r>
          </w:p>
          <w:p w14:paraId="7E15C12D">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ascii="宋体" w:hAnsi="宋体" w:eastAsia="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a) 致喘物过敏和支气管哮喘；</w:t>
            </w:r>
          </w:p>
          <w:p w14:paraId="3322E242">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b) 慢性阻塞性肺疾病；</w:t>
            </w:r>
          </w:p>
          <w:p w14:paraId="1C96007F">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c) 慢性间质性肺疾病；</w:t>
            </w:r>
          </w:p>
          <w:p w14:paraId="62C9313D">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d) 伴肺功能损害的疾病；</w:t>
            </w:r>
          </w:p>
          <w:p w14:paraId="5529F179">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e) 伴气道高反应的过敏性鼻炎。</w:t>
            </w:r>
          </w:p>
          <w:p w14:paraId="19172334">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16A3DF47">
            <w:pPr>
              <w:keepNext w:val="0"/>
              <w:keepLines w:val="0"/>
              <w:widowControl/>
              <w:suppressLineNumbers w:val="0"/>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噪声：</w:t>
            </w:r>
          </w:p>
          <w:p w14:paraId="60B9070A">
            <w:pPr>
              <w:keepNext w:val="0"/>
              <w:keepLines w:val="0"/>
              <w:widowControl/>
              <w:suppressLineNumbers w:val="0"/>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a) 500 Hz、1000 Hz和2000 Hz中任一频率纯音气导听阈＞25 dBHL的永久性感音神经性听力损失；</w:t>
            </w:r>
          </w:p>
          <w:p w14:paraId="28A2400E">
            <w:pPr>
              <w:keepNext w:val="0"/>
              <w:keepLines w:val="0"/>
              <w:widowControl/>
              <w:suppressLineNumbers w:val="0"/>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b) 高频段3000 Hz、4000 Hz、6000 Hz双耳平均听阈≥40 dBHL，且较好耳语频（500 Hz、1000 Hz</w:t>
            </w:r>
          </w:p>
          <w:p w14:paraId="0E28AB9E">
            <w:pPr>
              <w:keepNext w:val="0"/>
              <w:keepLines w:val="0"/>
              <w:widowControl/>
              <w:suppressLineNumbers w:val="0"/>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和2000 Hz）和高频（4000 Hz）听阈加权值≥26 dBHL（按GBZ 49）；</w:t>
            </w:r>
          </w:p>
          <w:p w14:paraId="32B1B721">
            <w:pPr>
              <w:keepNext w:val="0"/>
              <w:keepLines w:val="0"/>
              <w:widowControl/>
              <w:suppressLineNumbers w:val="0"/>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c) 任一耳传导性听力损失，语频平均听阈≥41 dBHL。</w:t>
            </w:r>
          </w:p>
          <w:p w14:paraId="7B3CDFD0">
            <w:pPr>
              <w:keepNext w:val="0"/>
              <w:keepLines w:val="0"/>
              <w:widowControl/>
              <w:suppressLineNumbers w:val="0"/>
              <w:jc w:val="left"/>
              <w:rPr>
                <w:rFonts w:hint="eastAsia" w:ascii="宋体" w:hAnsi="宋体" w:eastAsia="宋体" w:cs="宋体"/>
                <w:b/>
                <w:bCs/>
                <w:color w:val="000000"/>
                <w:kern w:val="0"/>
                <w:sz w:val="21"/>
                <w:szCs w:val="21"/>
                <w:lang w:val="en-US" w:eastAsia="zh-CN" w:bidi="ar"/>
              </w:rPr>
            </w:pPr>
          </w:p>
          <w:p w14:paraId="5CA95975">
            <w:pPr>
              <w:keepNext w:val="0"/>
              <w:keepLines w:val="0"/>
              <w:widowControl/>
              <w:suppressLineNumbers w:val="0"/>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苯：</w:t>
            </w:r>
          </w:p>
          <w:p w14:paraId="33C2415B">
            <w:pPr>
              <w:keepNext w:val="0"/>
              <w:keepLines w:val="0"/>
              <w:widowControl/>
              <w:suppressLineNumbers w:val="0"/>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造血系统疾病。</w:t>
            </w:r>
          </w:p>
          <w:p w14:paraId="4DEC88B6">
            <w:pPr>
              <w:keepNext w:val="0"/>
              <w:keepLines w:val="0"/>
              <w:widowControl/>
              <w:suppressLineNumbers w:val="0"/>
              <w:jc w:val="left"/>
              <w:rPr>
                <w:rFonts w:hint="eastAsia" w:ascii="宋体" w:hAnsi="宋体" w:eastAsia="宋体" w:cs="宋体"/>
                <w:b/>
                <w:bCs/>
                <w:color w:val="000000"/>
                <w:kern w:val="0"/>
                <w:sz w:val="21"/>
                <w:szCs w:val="21"/>
                <w:lang w:val="en-US" w:eastAsia="zh-CN" w:bidi="ar"/>
              </w:rPr>
            </w:pPr>
          </w:p>
          <w:p w14:paraId="6D07E9BD">
            <w:pPr>
              <w:keepNext w:val="0"/>
              <w:keepLines w:val="0"/>
              <w:widowControl/>
              <w:suppressLineNumbers w:val="0"/>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甲苯 &amp; 二甲苯（参照甲苯）：</w:t>
            </w:r>
          </w:p>
          <w:p w14:paraId="31ACFB2D">
            <w:pPr>
              <w:keepNext w:val="0"/>
              <w:keepLines w:val="0"/>
              <w:widowControl/>
              <w:suppressLineNumbers w:val="0"/>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中枢神经系统器质性疾病。</w:t>
            </w:r>
          </w:p>
          <w:p w14:paraId="370004F3">
            <w:pPr>
              <w:keepNext w:val="0"/>
              <w:keepLines w:val="0"/>
              <w:widowControl/>
              <w:suppressLineNumbers w:val="0"/>
              <w:jc w:val="left"/>
              <w:rPr>
                <w:rFonts w:hint="default" w:ascii="宋体" w:hAnsi="宋体" w:eastAsia="宋体" w:cs="宋体"/>
                <w:b/>
                <w:bCs/>
                <w:color w:val="000000"/>
                <w:kern w:val="0"/>
                <w:sz w:val="21"/>
                <w:szCs w:val="21"/>
                <w:lang w:val="en-US" w:eastAsia="zh-CN" w:bidi="ar"/>
              </w:rPr>
            </w:pPr>
          </w:p>
        </w:tc>
        <w:tc>
          <w:tcPr>
            <w:tcW w:w="1639" w:type="dxa"/>
            <w:noWrap w:val="0"/>
            <w:tcMar>
              <w:top w:w="0" w:type="dxa"/>
              <w:left w:w="108" w:type="dxa"/>
              <w:bottom w:w="0" w:type="dxa"/>
              <w:right w:w="108" w:type="dxa"/>
            </w:tcMar>
            <w:vAlign w:val="center"/>
          </w:tcPr>
          <w:p w14:paraId="7ACD4159">
            <w:pPr>
              <w:keepNext w:val="0"/>
              <w:keepLines w:val="0"/>
              <w:widowControl/>
              <w:suppressLineNumbers w:val="0"/>
              <w:jc w:val="left"/>
              <w:rPr>
                <w:rFonts w:hint="eastAsia" w:ascii="宋体" w:hAnsi="宋体" w:eastAsia="宋体" w:cs="宋体"/>
                <w:b/>
                <w:bCs/>
                <w:w w:val="99"/>
                <w:sz w:val="20"/>
                <w:szCs w:val="20"/>
                <w:lang w:eastAsia="zh-CN"/>
              </w:rPr>
            </w:pPr>
            <w:r>
              <w:rPr>
                <w:rFonts w:hint="eastAsia" w:ascii="宋体" w:hAnsi="宋体" w:eastAsia="宋体" w:cs="宋体"/>
                <w:b/>
                <w:bCs/>
                <w:w w:val="99"/>
                <w:sz w:val="20"/>
                <w:szCs w:val="20"/>
              </w:rPr>
              <w:t>木粉尘</w:t>
            </w:r>
            <w:r>
              <w:rPr>
                <w:rFonts w:hint="eastAsia" w:ascii="宋体" w:hAnsi="宋体" w:eastAsia="宋体" w:cs="宋体"/>
                <w:b/>
                <w:bCs/>
                <w:w w:val="99"/>
                <w:sz w:val="20"/>
                <w:szCs w:val="20"/>
                <w:lang w:eastAsia="zh-CN"/>
              </w:rPr>
              <w:t>（</w:t>
            </w:r>
            <w:r>
              <w:rPr>
                <w:rFonts w:hint="eastAsia" w:ascii="宋体" w:hAnsi="宋体" w:eastAsia="宋体" w:cs="宋体"/>
                <w:b/>
                <w:bCs/>
                <w:w w:val="99"/>
                <w:sz w:val="20"/>
                <w:szCs w:val="20"/>
                <w:lang w:val="en-US" w:eastAsia="zh-CN"/>
              </w:rPr>
              <w:t>有机粉尘</w:t>
            </w:r>
            <w:r>
              <w:rPr>
                <w:rFonts w:hint="eastAsia" w:ascii="宋体" w:hAnsi="宋体" w:eastAsia="宋体" w:cs="宋体"/>
                <w:b/>
                <w:bCs/>
                <w:w w:val="99"/>
                <w:sz w:val="20"/>
                <w:szCs w:val="20"/>
                <w:lang w:eastAsia="zh-CN"/>
              </w:rPr>
              <w:t>）：</w:t>
            </w:r>
          </w:p>
          <w:p w14:paraId="1E6F80B6">
            <w:pPr>
              <w:keepNext w:val="0"/>
              <w:keepLines w:val="0"/>
              <w:widowControl/>
              <w:suppressLineNumbers w:val="0"/>
              <w:jc w:val="left"/>
              <w:rPr>
                <w:rFonts w:hint="eastAsia" w:ascii="宋体" w:hAnsi="宋体" w:eastAsia="宋体" w:cs="宋体"/>
                <w:b w:val="0"/>
                <w:bCs w:val="0"/>
                <w:w w:val="99"/>
                <w:sz w:val="20"/>
                <w:szCs w:val="20"/>
                <w:lang w:eastAsia="zh-CN"/>
              </w:rPr>
            </w:pPr>
            <w:r>
              <w:rPr>
                <w:rFonts w:hint="eastAsia" w:ascii="宋体" w:hAnsi="宋体" w:eastAsia="宋体" w:cs="宋体"/>
                <w:b w:val="0"/>
                <w:bCs w:val="0"/>
                <w:w w:val="99"/>
                <w:sz w:val="20"/>
                <w:szCs w:val="20"/>
                <w:lang w:eastAsia="zh-CN"/>
              </w:rPr>
              <w:t>1) 职业性哮喘（按GBZ 57）；</w:t>
            </w:r>
          </w:p>
          <w:p w14:paraId="168B0A0F">
            <w:pPr>
              <w:keepNext w:val="0"/>
              <w:keepLines w:val="0"/>
              <w:widowControl/>
              <w:suppressLineNumbers w:val="0"/>
              <w:jc w:val="left"/>
              <w:rPr>
                <w:rFonts w:hint="eastAsia" w:ascii="宋体" w:hAnsi="宋体" w:eastAsia="宋体" w:cs="宋体"/>
                <w:b w:val="0"/>
                <w:bCs w:val="0"/>
                <w:w w:val="99"/>
                <w:sz w:val="20"/>
                <w:szCs w:val="20"/>
                <w:lang w:eastAsia="zh-CN"/>
              </w:rPr>
            </w:pPr>
            <w:r>
              <w:rPr>
                <w:rFonts w:hint="eastAsia" w:ascii="宋体" w:hAnsi="宋体" w:eastAsia="宋体" w:cs="宋体"/>
                <w:b w:val="0"/>
                <w:bCs w:val="0"/>
                <w:w w:val="99"/>
                <w:sz w:val="20"/>
                <w:szCs w:val="20"/>
                <w:lang w:eastAsia="zh-CN"/>
              </w:rPr>
              <w:t>2) 职业性过敏性肺炎（按GBZ 60）。</w:t>
            </w:r>
          </w:p>
          <w:p w14:paraId="20699810">
            <w:pPr>
              <w:keepNext w:val="0"/>
              <w:keepLines w:val="0"/>
              <w:widowControl/>
              <w:suppressLineNumbers w:val="0"/>
              <w:jc w:val="left"/>
              <w:rPr>
                <w:rFonts w:hint="eastAsia" w:ascii="宋体" w:hAnsi="宋体" w:eastAsia="宋体" w:cs="宋体"/>
                <w:b/>
                <w:bCs/>
                <w:w w:val="99"/>
                <w:sz w:val="20"/>
                <w:szCs w:val="20"/>
                <w:lang w:eastAsia="zh-CN"/>
              </w:rPr>
            </w:pPr>
          </w:p>
          <w:p w14:paraId="4DB518DF">
            <w:pPr>
              <w:keepNext w:val="0"/>
              <w:keepLines w:val="0"/>
              <w:widowControl/>
              <w:suppressLineNumbers w:val="0"/>
              <w:jc w:val="left"/>
              <w:rPr>
                <w:rFonts w:hint="eastAsia" w:ascii="宋体" w:hAnsi="宋体" w:eastAsia="宋体" w:cs="宋体"/>
                <w:b/>
                <w:bCs/>
                <w:w w:val="99"/>
                <w:sz w:val="20"/>
                <w:szCs w:val="20"/>
                <w:lang w:eastAsia="zh-CN"/>
              </w:rPr>
            </w:pPr>
          </w:p>
          <w:p w14:paraId="3D321197">
            <w:pPr>
              <w:keepNext w:val="0"/>
              <w:keepLines w:val="0"/>
              <w:widowControl/>
              <w:suppressLineNumbers w:val="0"/>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噪声：</w:t>
            </w:r>
          </w:p>
          <w:p w14:paraId="528C1D89">
            <w:pPr>
              <w:keepNext w:val="0"/>
              <w:keepLines w:val="0"/>
              <w:widowControl/>
              <w:suppressLineNumbers w:val="0"/>
              <w:jc w:val="left"/>
              <w:rPr>
                <w:rFonts w:hint="eastAsia" w:ascii="宋体" w:hAnsi="宋体" w:eastAsia="宋体" w:cs="宋体"/>
                <w:b w:val="0"/>
                <w:bCs w:val="0"/>
                <w:w w:val="99"/>
                <w:sz w:val="20"/>
                <w:szCs w:val="20"/>
                <w:lang w:eastAsia="zh-CN"/>
              </w:rPr>
            </w:pPr>
            <w:r>
              <w:rPr>
                <w:rFonts w:hint="eastAsia" w:ascii="宋体" w:hAnsi="宋体" w:eastAsia="宋体" w:cs="宋体"/>
                <w:b w:val="0"/>
                <w:bCs w:val="0"/>
                <w:w w:val="99"/>
                <w:sz w:val="20"/>
                <w:szCs w:val="20"/>
                <w:lang w:eastAsia="zh-CN"/>
              </w:rPr>
              <w:t>职业性噪声聋（按GBZ 49）。</w:t>
            </w:r>
          </w:p>
          <w:p w14:paraId="2D2A5842">
            <w:pPr>
              <w:keepNext w:val="0"/>
              <w:keepLines w:val="0"/>
              <w:widowControl/>
              <w:suppressLineNumbers w:val="0"/>
              <w:jc w:val="left"/>
              <w:rPr>
                <w:rFonts w:hint="eastAsia" w:ascii="宋体" w:hAnsi="宋体" w:eastAsia="宋体" w:cs="宋体"/>
                <w:b/>
                <w:bCs/>
                <w:w w:val="99"/>
                <w:sz w:val="20"/>
                <w:szCs w:val="20"/>
                <w:lang w:eastAsia="zh-CN"/>
              </w:rPr>
            </w:pPr>
          </w:p>
          <w:p w14:paraId="4CA1E6BC">
            <w:pPr>
              <w:keepNext w:val="0"/>
              <w:keepLines w:val="0"/>
              <w:widowControl/>
              <w:suppressLineNumbers w:val="0"/>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苯：</w:t>
            </w:r>
          </w:p>
          <w:p w14:paraId="168D042A">
            <w:pPr>
              <w:keepNext w:val="0"/>
              <w:keepLines w:val="0"/>
              <w:widowControl/>
              <w:suppressLineNumbers w:val="0"/>
              <w:jc w:val="left"/>
              <w:rPr>
                <w:rFonts w:hint="eastAsia" w:ascii="宋体" w:hAnsi="宋体" w:eastAsia="宋体" w:cs="宋体"/>
                <w:b w:val="0"/>
                <w:bCs w:val="0"/>
                <w:w w:val="99"/>
                <w:sz w:val="20"/>
                <w:szCs w:val="20"/>
                <w:lang w:eastAsia="zh-CN"/>
              </w:rPr>
            </w:pPr>
            <w:r>
              <w:rPr>
                <w:rFonts w:hint="eastAsia" w:ascii="宋体" w:hAnsi="宋体" w:eastAsia="宋体" w:cs="宋体"/>
                <w:b w:val="0"/>
                <w:bCs w:val="0"/>
                <w:w w:val="99"/>
                <w:sz w:val="20"/>
                <w:szCs w:val="20"/>
                <w:lang w:eastAsia="zh-CN"/>
              </w:rPr>
              <w:t>1) 职业性慢性苯中毒（按GBZ 68）；</w:t>
            </w:r>
          </w:p>
          <w:p w14:paraId="2CB20B15">
            <w:pPr>
              <w:keepNext w:val="0"/>
              <w:keepLines w:val="0"/>
              <w:widowControl/>
              <w:suppressLineNumbers w:val="0"/>
              <w:jc w:val="left"/>
              <w:rPr>
                <w:rFonts w:hint="eastAsia" w:ascii="宋体" w:hAnsi="宋体" w:eastAsia="宋体" w:cs="宋体"/>
                <w:b w:val="0"/>
                <w:bCs w:val="0"/>
                <w:w w:val="99"/>
                <w:sz w:val="20"/>
                <w:szCs w:val="20"/>
                <w:lang w:eastAsia="zh-CN"/>
              </w:rPr>
            </w:pPr>
            <w:r>
              <w:rPr>
                <w:rFonts w:hint="eastAsia" w:ascii="宋体" w:hAnsi="宋体" w:eastAsia="宋体" w:cs="宋体"/>
                <w:b w:val="0"/>
                <w:bCs w:val="0"/>
                <w:w w:val="99"/>
                <w:sz w:val="20"/>
                <w:szCs w:val="20"/>
                <w:lang w:eastAsia="zh-CN"/>
              </w:rPr>
              <w:t>2) 职业性肿瘤（苯所致白血病）（按GBZ 94）。</w:t>
            </w:r>
          </w:p>
          <w:p w14:paraId="70908107">
            <w:pPr>
              <w:keepNext w:val="0"/>
              <w:keepLines w:val="0"/>
              <w:widowControl/>
              <w:suppressLineNumbers w:val="0"/>
              <w:jc w:val="left"/>
              <w:rPr>
                <w:rFonts w:hint="eastAsia" w:ascii="宋体" w:hAnsi="宋体" w:eastAsia="宋体" w:cs="宋体"/>
                <w:b/>
                <w:bCs/>
                <w:w w:val="99"/>
                <w:sz w:val="20"/>
                <w:szCs w:val="20"/>
                <w:lang w:eastAsia="zh-CN"/>
              </w:rPr>
            </w:pPr>
          </w:p>
          <w:p w14:paraId="0F6D6D25">
            <w:pPr>
              <w:keepNext w:val="0"/>
              <w:keepLines w:val="0"/>
              <w:widowControl/>
              <w:suppressLineNumbers w:val="0"/>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甲苯 &amp; 二甲苯（参照甲苯）：</w:t>
            </w:r>
          </w:p>
          <w:p w14:paraId="2CCD0999">
            <w:pPr>
              <w:keepNext w:val="0"/>
              <w:keepLines w:val="0"/>
              <w:widowControl/>
              <w:suppressLineNumbers w:val="0"/>
              <w:jc w:val="left"/>
              <w:rPr>
                <w:rFonts w:hint="eastAsia" w:ascii="宋体" w:hAnsi="宋体" w:eastAsia="宋体" w:cs="宋体"/>
                <w:b w:val="0"/>
                <w:bCs w:val="0"/>
                <w:w w:val="99"/>
                <w:sz w:val="20"/>
                <w:szCs w:val="20"/>
                <w:lang w:val="en-US" w:eastAsia="zh-CN"/>
              </w:rPr>
            </w:pPr>
            <w:r>
              <w:rPr>
                <w:rFonts w:hint="eastAsia" w:ascii="宋体" w:hAnsi="宋体" w:eastAsia="宋体" w:cs="宋体"/>
                <w:b w:val="0"/>
                <w:bCs w:val="0"/>
                <w:w w:val="99"/>
                <w:sz w:val="20"/>
                <w:szCs w:val="20"/>
                <w:lang w:val="en-US" w:eastAsia="zh-CN"/>
              </w:rPr>
              <w:t>a) 职业性急性甲苯中毒（按GBZ 16）；</w:t>
            </w:r>
          </w:p>
          <w:p w14:paraId="4AE43205">
            <w:pPr>
              <w:keepNext w:val="0"/>
              <w:keepLines w:val="0"/>
              <w:widowControl/>
              <w:suppressLineNumbers w:val="0"/>
              <w:jc w:val="left"/>
              <w:rPr>
                <w:rFonts w:hint="eastAsia" w:ascii="宋体" w:hAnsi="宋体" w:eastAsia="宋体" w:cs="宋体"/>
                <w:b w:val="0"/>
                <w:bCs w:val="0"/>
                <w:w w:val="99"/>
                <w:sz w:val="20"/>
                <w:szCs w:val="20"/>
                <w:lang w:val="en-US" w:eastAsia="zh-CN"/>
              </w:rPr>
            </w:pPr>
            <w:r>
              <w:rPr>
                <w:rFonts w:hint="eastAsia" w:ascii="宋体" w:hAnsi="宋体" w:eastAsia="宋体" w:cs="宋体"/>
                <w:b w:val="0"/>
                <w:bCs w:val="0"/>
                <w:w w:val="99"/>
                <w:sz w:val="20"/>
                <w:szCs w:val="20"/>
                <w:lang w:val="en-US" w:eastAsia="zh-CN"/>
              </w:rPr>
              <w:t>b) 职业性化学性皮肤灼伤（按GBZ 51）；</w:t>
            </w:r>
          </w:p>
          <w:p w14:paraId="3692F726">
            <w:pPr>
              <w:keepNext w:val="0"/>
              <w:keepLines w:val="0"/>
              <w:widowControl/>
              <w:suppressLineNumbers w:val="0"/>
              <w:jc w:val="left"/>
              <w:rPr>
                <w:rFonts w:hint="eastAsia" w:ascii="宋体" w:hAnsi="宋体" w:eastAsia="宋体" w:cs="宋体"/>
                <w:b w:val="0"/>
                <w:bCs w:val="0"/>
                <w:w w:val="99"/>
                <w:sz w:val="20"/>
                <w:szCs w:val="20"/>
                <w:lang w:val="en-US" w:eastAsia="zh-CN"/>
              </w:rPr>
            </w:pPr>
            <w:r>
              <w:rPr>
                <w:rFonts w:hint="eastAsia" w:ascii="宋体" w:hAnsi="宋体" w:eastAsia="宋体" w:cs="宋体"/>
                <w:b w:val="0"/>
                <w:bCs w:val="0"/>
                <w:w w:val="99"/>
                <w:sz w:val="20"/>
                <w:szCs w:val="20"/>
                <w:lang w:val="en-US" w:eastAsia="zh-CN"/>
              </w:rPr>
              <w:t>c) 职业性化学性眼灼伤（按GBZ 54）。</w:t>
            </w:r>
          </w:p>
          <w:p w14:paraId="4A8B016C">
            <w:pPr>
              <w:widowControl/>
              <w:spacing w:line="375" w:lineRule="atLeast"/>
              <w:jc w:val="left"/>
              <w:rPr>
                <w:rFonts w:ascii="宋体" w:hAnsi="宋体" w:cs="宋体"/>
                <w:kern w:val="0"/>
                <w:szCs w:val="21"/>
              </w:rPr>
            </w:pPr>
          </w:p>
          <w:p w14:paraId="6EE976C7">
            <w:pPr>
              <w:widowControl/>
              <w:spacing w:line="375" w:lineRule="atLeast"/>
              <w:jc w:val="left"/>
              <w:rPr>
                <w:rFonts w:ascii="宋体" w:hAnsi="宋体" w:cs="宋体"/>
                <w:kern w:val="0"/>
                <w:sz w:val="24"/>
              </w:rPr>
            </w:pPr>
            <w:r>
              <w:rPr>
                <w:rFonts w:hint="eastAsia" w:ascii="宋体" w:hAnsi="宋体" w:cs="宋体"/>
                <w:kern w:val="0"/>
                <w:szCs w:val="21"/>
              </w:rPr>
              <w:t>GBZ188-2</w:t>
            </w:r>
            <w:r>
              <w:rPr>
                <w:rFonts w:hint="eastAsia" w:ascii="宋体" w:hAnsi="宋体" w:cs="宋体"/>
                <w:kern w:val="0"/>
                <w:szCs w:val="21"/>
                <w:lang w:val="en-US" w:eastAsia="zh-CN"/>
              </w:rPr>
              <w:t>025</w:t>
            </w:r>
            <w:r>
              <w:rPr>
                <w:rFonts w:hint="eastAsia" w:ascii="宋体" w:hAnsi="宋体" w:cs="宋体"/>
                <w:kern w:val="0"/>
                <w:szCs w:val="21"/>
              </w:rPr>
              <w:t>对职业健康检查目标疾病（职业病）未做说明</w:t>
            </w:r>
          </w:p>
        </w:tc>
        <w:tc>
          <w:tcPr>
            <w:tcW w:w="1402" w:type="dxa"/>
            <w:noWrap w:val="0"/>
            <w:tcMar>
              <w:top w:w="0" w:type="dxa"/>
              <w:left w:w="108" w:type="dxa"/>
              <w:bottom w:w="0" w:type="dxa"/>
              <w:right w:w="108" w:type="dxa"/>
            </w:tcMar>
            <w:vAlign w:val="center"/>
          </w:tcPr>
          <w:p w14:paraId="34F34321">
            <w:pPr>
              <w:widowControl/>
              <w:spacing w:line="375" w:lineRule="atLeast"/>
              <w:jc w:val="left"/>
              <w:rPr>
                <w:rFonts w:ascii="宋体" w:hAnsi="宋体" w:cs="宋体"/>
                <w:color w:val="000000"/>
                <w:kern w:val="0"/>
                <w:sz w:val="24"/>
              </w:rPr>
            </w:pPr>
            <w:r>
              <w:rPr>
                <w:rFonts w:hint="eastAsia" w:ascii="宋体" w:hAnsi="宋体" w:cs="宋体"/>
                <w:kern w:val="0"/>
                <w:szCs w:val="21"/>
              </w:rPr>
              <w:t>工作服、安全鞋、防毒口罩、防护眼镜、防护手套</w:t>
            </w:r>
            <w:r>
              <w:rPr>
                <w:rFonts w:hint="eastAsia" w:ascii="宋体" w:hAnsi="宋体" w:cs="宋体"/>
                <w:kern w:val="0"/>
                <w:szCs w:val="21"/>
                <w:lang w:eastAsia="zh-CN"/>
              </w:rPr>
              <w:t>、</w:t>
            </w:r>
            <w:r>
              <w:rPr>
                <w:rFonts w:hint="eastAsia" w:ascii="宋体" w:hAnsi="宋体" w:cs="宋体"/>
                <w:kern w:val="0"/>
                <w:szCs w:val="21"/>
              </w:rPr>
              <w:t>防护耳塞</w:t>
            </w:r>
          </w:p>
        </w:tc>
      </w:tr>
    </w:tbl>
    <w:p w14:paraId="3EA33AC4">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二）甲方应依照《职业病防治法》及《职业健康监护技术规范》（GBZ188）的要求，做好乙方上岗前、在岗期间、离岗时的职业健康检查和应急检查。一旦发生职业病，甲方必须按照国家有关法律、法规的要求，为乙方如实提供职业病诊断、鉴定所需的劳动者职业史和职业病危害接触史、工作场所职业病危害因素检测结果等资料及相应待遇。</w:t>
      </w:r>
    </w:p>
    <w:p w14:paraId="5D656A89">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三）乙方应自觉遵守甲方的职业卫生管理制度和操作规程，正确使用维护职业病防护设施和个人职业病防护用品，积极参加职业卫生知识培训，按要求参加上岗前、在岗期间和离岗时的职业健康检查。若被检查出职业禁忌证或发现与所从事的职业相关的健康损害的，必须服从甲方为保护乙方职业健康而调离原岗位并妥善安置的工作安排。</w:t>
      </w:r>
    </w:p>
    <w:p w14:paraId="51FB14C8">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（四）当乙方工作岗位或者工作内容发生变更，从事告知书中未告知的存在职业病危害的作业时，甲方应与其协商变更告知书相关内容，重新签订职业病危害告知书。</w:t>
      </w:r>
    </w:p>
    <w:p w14:paraId="153A4FB1">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（五）甲方未履行职业病危害告知义务，乙方有权拒绝从事存在职业病危害的作业，甲方不得因此解除与乙方所订立的劳动合同。</w:t>
      </w:r>
    </w:p>
    <w:p w14:paraId="58337FAB">
      <w:pPr>
        <w:widowControl/>
        <w:spacing w:line="375" w:lineRule="atLeast"/>
        <w:ind w:firstLine="662"/>
        <w:jc w:val="left"/>
        <w:rPr>
          <w:rFonts w:ascii="宋体" w:hAnsi="宋体" w:cs="宋体"/>
          <w:color w:val="000000"/>
          <w:kern w:val="0"/>
          <w:sz w:val="24"/>
        </w:rPr>
      </w:pPr>
      <w:r>
        <w:rPr>
          <w:rFonts w:ascii="宋体" w:hAnsi="宋体" w:cs="宋体"/>
          <w:color w:val="000000"/>
          <w:kern w:val="0"/>
          <w:sz w:val="24"/>
        </w:rPr>
        <w:t>（六）职业病危害告知书作为甲方与乙方签订劳动合同的附件，具有同等的法律效力。</w:t>
      </w:r>
    </w:p>
    <w:p w14:paraId="3E1E96F6">
      <w:pPr>
        <w:widowControl/>
        <w:spacing w:line="375" w:lineRule="atLeast"/>
        <w:ind w:firstLine="662"/>
        <w:jc w:val="left"/>
        <w:rPr>
          <w:rFonts w:hint="eastAsia" w:ascii="宋体" w:hAnsi="宋体" w:cs="宋体"/>
          <w:color w:val="000000"/>
          <w:kern w:val="0"/>
          <w:sz w:val="24"/>
        </w:rPr>
      </w:pPr>
    </w:p>
    <w:p w14:paraId="4664B9F1">
      <w:pPr>
        <w:widowControl/>
        <w:spacing w:line="375" w:lineRule="atLeast"/>
        <w:ind w:firstLine="662"/>
        <w:jc w:val="left"/>
        <w:rPr>
          <w:rFonts w:hint="eastAsia" w:ascii="宋体" w:hAnsi="宋体" w:cs="宋体"/>
          <w:color w:val="000000"/>
          <w:kern w:val="0"/>
          <w:sz w:val="24"/>
        </w:rPr>
      </w:pPr>
      <w:r>
        <w:rPr>
          <w:rFonts w:hint="eastAsia" w:ascii="宋体" w:hAnsi="宋体" w:cs="宋体"/>
          <w:color w:val="000000"/>
          <w:kern w:val="0"/>
          <w:sz w:val="24"/>
        </w:rPr>
        <w:t>甲方签字（签章）                                   乙方（签字）</w:t>
      </w:r>
    </w:p>
    <w:p w14:paraId="66CDE9DE">
      <w:pPr>
        <w:widowControl/>
        <w:spacing w:line="375" w:lineRule="atLeast"/>
        <w:ind w:firstLine="662"/>
        <w:jc w:val="left"/>
        <w:rPr>
          <w:rFonts w:hint="eastAsia" w:ascii="宋体" w:hAnsi="宋体" w:cs="宋体"/>
          <w:color w:val="000000"/>
          <w:kern w:val="0"/>
          <w:sz w:val="24"/>
        </w:rPr>
      </w:pPr>
      <w:r>
        <w:rPr>
          <w:rFonts w:hint="eastAsia" w:ascii="宋体" w:hAnsi="宋体" w:cs="宋体"/>
          <w:color w:val="000000"/>
          <w:kern w:val="0"/>
          <w:sz w:val="24"/>
        </w:rPr>
        <w:t xml:space="preserve"> </w:t>
      </w:r>
      <w:r>
        <w:drawing>
          <wp:anchor distT="0" distB="0" distL="114300" distR="114300" simplePos="0" relativeHeight="251659264" behindDoc="0" locked="0" layoutInCell="1" allowOverlap="1">
            <wp:simplePos x="0" y="0"/>
            <wp:positionH relativeFrom="column">
              <wp:posOffset>1143000</wp:posOffset>
            </wp:positionH>
            <wp:positionV relativeFrom="paragraph">
              <wp:posOffset>9387205</wp:posOffset>
            </wp:positionV>
            <wp:extent cx="701040" cy="417195"/>
            <wp:effectExtent l="0" t="0" r="0" b="0"/>
            <wp:wrapNone/>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4">
                      <a:clrChange>
                        <a:clrFrom>
                          <a:srgbClr val="FFFFFF"/>
                        </a:clrFrom>
                        <a:clrTo>
                          <a:srgbClr val="FFFFFF">
                            <a:alpha val="0"/>
                          </a:srgbClr>
                        </a:clrTo>
                      </a:clrChange>
                    </a:blip>
                    <a:srcRect l="26820" t="47018" r="51422" b="31389"/>
                    <a:stretch>
                      <a:fillRect/>
                    </a:stretch>
                  </pic:blipFill>
                  <pic:spPr>
                    <a:xfrm>
                      <a:off x="0" y="0"/>
                      <a:ext cx="701040" cy="417195"/>
                    </a:xfrm>
                    <a:prstGeom prst="rect">
                      <a:avLst/>
                    </a:prstGeom>
                    <a:noFill/>
                    <a:ln>
                      <a:noFill/>
                    </a:ln>
                  </pic:spPr>
                </pic:pic>
              </a:graphicData>
            </a:graphic>
          </wp:anchor>
        </w:drawing>
      </w:r>
      <w:r>
        <w:rPr>
          <w:rFonts w:hint="eastAsia" w:ascii="宋体" w:hAnsi="宋体" w:cs="宋体"/>
          <w:color w:val="000000"/>
          <w:kern w:val="0"/>
          <w:sz w:val="24"/>
        </w:rPr>
        <w:t xml:space="preserve">                                                   </w:t>
      </w:r>
    </w:p>
    <w:p w14:paraId="44CFB9CA">
      <w:pPr>
        <w:widowControl/>
        <w:spacing w:line="375" w:lineRule="atLeast"/>
        <w:ind w:firstLine="662"/>
        <w:jc w:val="left"/>
        <w:rPr>
          <w:rFonts w:hint="eastAsia"/>
        </w:rPr>
      </w:pPr>
      <w:r>
        <w:rPr>
          <w:rFonts w:hint="eastAsia" w:ascii="宋体" w:hAnsi="宋体" w:cs="宋体"/>
          <w:color w:val="000000"/>
          <w:kern w:val="0"/>
          <w:sz w:val="24"/>
        </w:rPr>
        <w:t xml:space="preserve">年  月  日                                   </w:t>
      </w:r>
      <w:r>
        <w:rPr>
          <w:rFonts w:hint="eastAsia" w:ascii="宋体" w:hAnsi="宋体" w:cs="宋体"/>
          <w:color w:val="000000"/>
          <w:kern w:val="0"/>
          <w:sz w:val="24"/>
          <w:lang w:val="en-US" w:eastAsia="zh-CN"/>
        </w:rPr>
        <w:t xml:space="preserve">     </w:t>
      </w:r>
      <w:r>
        <w:rPr>
          <w:rFonts w:hint="eastAsia" w:ascii="宋体" w:hAnsi="宋体" w:cs="宋体"/>
          <w:color w:val="000000"/>
          <w:kern w:val="0"/>
          <w:sz w:val="24"/>
        </w:rPr>
        <w:t>年</w:t>
      </w:r>
      <w:r>
        <w:rPr>
          <w:rFonts w:hint="eastAsia" w:ascii="宋体" w:hAnsi="宋体" w:cs="宋体"/>
          <w:color w:val="000000"/>
          <w:kern w:val="0"/>
          <w:sz w:val="24"/>
          <w:lang w:val="en-US" w:eastAsia="zh-CN"/>
        </w:rPr>
        <w:t xml:space="preserve">   </w:t>
      </w:r>
      <w:r>
        <w:rPr>
          <w:rFonts w:hint="eastAsia" w:ascii="宋体" w:hAnsi="宋体" w:cs="宋体"/>
          <w:color w:val="000000"/>
          <w:kern w:val="0"/>
          <w:sz w:val="24"/>
        </w:rPr>
        <w:t xml:space="preserve">月 </w:t>
      </w:r>
      <w:r>
        <w:rPr>
          <w:rFonts w:hint="eastAsia" w:ascii="宋体" w:hAnsi="宋体" w:cs="宋体"/>
          <w:color w:val="000000"/>
          <w:kern w:val="0"/>
          <w:sz w:val="24"/>
          <w:lang w:val="en-US" w:eastAsia="zh-CN"/>
        </w:rPr>
        <w:t xml:space="preserve"> </w:t>
      </w:r>
      <w:bookmarkStart w:id="0" w:name="_GoBack"/>
      <w:bookmarkEnd w:id="0"/>
      <w:r>
        <w:rPr>
          <w:rFonts w:hint="eastAsia" w:ascii="宋体" w:hAnsi="宋体" w:cs="宋体"/>
          <w:color w:val="000000"/>
          <w:kern w:val="0"/>
          <w:sz w:val="24"/>
        </w:rPr>
        <w:t xml:space="preserve"> 日</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7C03"/>
    <w:rsid w:val="00841643"/>
    <w:rsid w:val="00AB7C03"/>
    <w:rsid w:val="00B6027B"/>
    <w:rsid w:val="00B64050"/>
    <w:rsid w:val="00F11EFB"/>
    <w:rsid w:val="1D7F4B10"/>
    <w:rsid w:val="1FA30851"/>
    <w:rsid w:val="273597F4"/>
    <w:rsid w:val="34FE1408"/>
    <w:rsid w:val="3BBEDB76"/>
    <w:rsid w:val="3FD78EA2"/>
    <w:rsid w:val="4FF730D2"/>
    <w:rsid w:val="5DBF55FB"/>
    <w:rsid w:val="60B747CB"/>
    <w:rsid w:val="6DDFC513"/>
    <w:rsid w:val="6EFF9251"/>
    <w:rsid w:val="6FBF123D"/>
    <w:rsid w:val="6FDB1E87"/>
    <w:rsid w:val="6FFF3C46"/>
    <w:rsid w:val="70FFF36C"/>
    <w:rsid w:val="72FD7DA7"/>
    <w:rsid w:val="73DC7207"/>
    <w:rsid w:val="76AF857F"/>
    <w:rsid w:val="77A7BC25"/>
    <w:rsid w:val="77ED8FDB"/>
    <w:rsid w:val="77F7C408"/>
    <w:rsid w:val="79DD602E"/>
    <w:rsid w:val="79FFB879"/>
    <w:rsid w:val="7AEE1F14"/>
    <w:rsid w:val="7AFFE4FF"/>
    <w:rsid w:val="7BF3B793"/>
    <w:rsid w:val="7D76F257"/>
    <w:rsid w:val="7EEE89FD"/>
    <w:rsid w:val="7FBFE1E3"/>
    <w:rsid w:val="91E454B6"/>
    <w:rsid w:val="9FEF1E75"/>
    <w:rsid w:val="9FFED6C3"/>
    <w:rsid w:val="ABDD31AE"/>
    <w:rsid w:val="AFFF5A5D"/>
    <w:rsid w:val="BFBBE488"/>
    <w:rsid w:val="C7883009"/>
    <w:rsid w:val="DB9D1FB9"/>
    <w:rsid w:val="EA7F6D7F"/>
    <w:rsid w:val="EE9E2F16"/>
    <w:rsid w:val="F365EA70"/>
    <w:rsid w:val="F757B0E5"/>
    <w:rsid w:val="FAFED9D7"/>
    <w:rsid w:val="FB37A67B"/>
    <w:rsid w:val="FDDF9AA5"/>
    <w:rsid w:val="FEFFD999"/>
    <w:rsid w:val="FF27D166"/>
    <w:rsid w:val="FFAB5D43"/>
    <w:rsid w:val="FFDD3BA1"/>
    <w:rsid w:val="FFF6951D"/>
    <w:rsid w:val="FFF7475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link w:val="6"/>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tabs>
        <w:tab w:val="center" w:pos="4153"/>
        <w:tab w:val="right" w:pos="8306"/>
      </w:tabs>
      <w:snapToGrid w:val="0"/>
      <w:jc w:val="center"/>
    </w:pPr>
    <w:rPr>
      <w:sz w:val="18"/>
      <w:szCs w:val="18"/>
    </w:rPr>
  </w:style>
  <w:style w:type="character" w:customStyle="1" w:styleId="6">
    <w:name w:val="页脚 字符"/>
    <w:link w:val="2"/>
    <w:qFormat/>
    <w:uiPriority w:val="0"/>
    <w:rPr>
      <w:kern w:val="2"/>
      <w:sz w:val="18"/>
      <w:szCs w:val="18"/>
    </w:rPr>
  </w:style>
  <w:style w:type="character" w:customStyle="1" w:styleId="7">
    <w:name w:val="页眉 字符"/>
    <w:link w:val="3"/>
    <w:qFormat/>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MC SYSTEM</Company>
  <Pages>2</Pages>
  <Words>712</Words>
  <Characters>771</Characters>
  <Lines>77</Lines>
  <Paragraphs>64</Paragraphs>
  <TotalTime>6</TotalTime>
  <ScaleCrop>false</ScaleCrop>
  <LinksUpToDate>false</LinksUpToDate>
  <CharactersWithSpaces>1419</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2014-11-26T17:29:00Z</dcterms:created>
  <dc:creator>周秀玲</dc:creator>
  <cp:lastModifiedBy>陈野菲</cp:lastModifiedBy>
  <dcterms:modified xsi:type="dcterms:W3CDTF">2026-09-21T15:50:47Z</dcterms:modified>
  <dc:title>附件1</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291A54D0486BB1E23BDBB06AF88F42FA_43</vt:lpwstr>
  </property>
</Properties>
</file>