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7141CC">
      <w:pPr>
        <w:widowControl/>
        <w:spacing w:line="375" w:lineRule="atLeast"/>
        <w:jc w:val="center"/>
        <w:rPr>
          <w:rFonts w:ascii="宋体" w:hAnsi="宋体" w:cs="宋体"/>
          <w:color w:val="000000"/>
          <w:kern w:val="0"/>
          <w:sz w:val="36"/>
          <w:szCs w:val="36"/>
        </w:rPr>
      </w:pPr>
      <w:bookmarkStart w:id="0" w:name="_GoBack"/>
      <w:bookmarkEnd w:id="0"/>
      <w:r>
        <w:rPr>
          <w:rFonts w:hint="eastAsia" w:ascii="宋体" w:hAnsi="宋体" w:cs="宋体"/>
          <w:color w:val="000000"/>
          <w:kern w:val="0"/>
          <w:sz w:val="36"/>
          <w:szCs w:val="36"/>
        </w:rPr>
        <w:t>慧瑞环保涂料（上海）有限公司</w:t>
      </w:r>
    </w:p>
    <w:p w14:paraId="632A33C6">
      <w:pPr>
        <w:widowControl/>
        <w:spacing w:line="375" w:lineRule="atLeast"/>
        <w:jc w:val="center"/>
        <w:rPr>
          <w:rFonts w:ascii="宋体" w:hAnsi="宋体" w:cs="宋体"/>
          <w:color w:val="000000"/>
          <w:kern w:val="0"/>
          <w:sz w:val="27"/>
          <w:szCs w:val="27"/>
        </w:rPr>
      </w:pPr>
      <w:r>
        <w:rPr>
          <w:rFonts w:ascii="宋体" w:hAnsi="宋体" w:cs="宋体"/>
          <w:color w:val="000000"/>
          <w:kern w:val="0"/>
          <w:sz w:val="36"/>
          <w:szCs w:val="36"/>
        </w:rPr>
        <w:t>职业病危害告知书</w:t>
      </w:r>
      <w:r>
        <w:rPr>
          <w:rFonts w:ascii="宋体" w:hAnsi="宋体" w:cs="宋体"/>
          <w:color w:val="000000"/>
          <w:kern w:val="0"/>
          <w:sz w:val="27"/>
          <w:szCs w:val="27"/>
        </w:rPr>
        <w:t> </w:t>
      </w:r>
    </w:p>
    <w:p w14:paraId="2BBF6829">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根据《职业病防治法》第三十</w:t>
      </w:r>
      <w:r>
        <w:rPr>
          <w:rFonts w:hint="eastAsia" w:ascii="宋体" w:hAnsi="宋体" w:cs="宋体"/>
          <w:color w:val="000000"/>
          <w:kern w:val="0"/>
          <w:sz w:val="24"/>
        </w:rPr>
        <w:t>三</w:t>
      </w:r>
      <w:r>
        <w:rPr>
          <w:rFonts w:ascii="宋体" w:hAnsi="宋体" w:cs="宋体"/>
          <w:color w:val="000000"/>
          <w:kern w:val="0"/>
          <w:sz w:val="24"/>
        </w:rPr>
        <w:t>条的规定，用人单位（甲方）在与劳动者（乙方）订立劳动合同时应告知工作过程中可能产生的职业病危害及其后果、职业病防护措施和待遇等内容：</w:t>
      </w:r>
    </w:p>
    <w:p w14:paraId="1B3398CA">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（一）所在工作岗位、可能产生的职业病危害、后果及职业病防护措施：</w:t>
      </w:r>
    </w:p>
    <w:tbl>
      <w:tblPr>
        <w:tblStyle w:val="4"/>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685"/>
        <w:gridCol w:w="1411"/>
        <w:gridCol w:w="2385"/>
        <w:gridCol w:w="1639"/>
        <w:gridCol w:w="1402"/>
      </w:tblGrid>
      <w:tr w14:paraId="5F53514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69" w:hRule="atLeast"/>
          <w:jc w:val="center"/>
        </w:trPr>
        <w:tc>
          <w:tcPr>
            <w:tcW w:w="1685" w:type="dxa"/>
            <w:noWrap w:val="0"/>
            <w:tcMar>
              <w:top w:w="0" w:type="dxa"/>
              <w:left w:w="108" w:type="dxa"/>
              <w:bottom w:w="0" w:type="dxa"/>
              <w:right w:w="108" w:type="dxa"/>
            </w:tcMar>
            <w:vAlign w:val="center"/>
          </w:tcPr>
          <w:p w14:paraId="2CFE70B4">
            <w:pPr>
              <w:widowControl/>
              <w:spacing w:line="375" w:lineRule="atLeast"/>
              <w:jc w:val="center"/>
              <w:rPr>
                <w:rFonts w:ascii="宋体" w:hAnsi="宋体" w:cs="宋体"/>
                <w:kern w:val="0"/>
                <w:sz w:val="24"/>
              </w:rPr>
            </w:pPr>
            <w:r>
              <w:rPr>
                <w:rFonts w:ascii="宋体" w:hAnsi="宋体" w:cs="宋体"/>
                <w:color w:val="000000"/>
                <w:kern w:val="0"/>
                <w:sz w:val="24"/>
              </w:rPr>
              <w:t>所在部门及</w:t>
            </w:r>
          </w:p>
          <w:p w14:paraId="00419DDA">
            <w:pPr>
              <w:widowControl/>
              <w:spacing w:line="375" w:lineRule="atLeast"/>
              <w:jc w:val="center"/>
              <w:rPr>
                <w:rFonts w:ascii="宋体" w:hAnsi="宋体" w:cs="宋体"/>
                <w:kern w:val="0"/>
                <w:sz w:val="24"/>
              </w:rPr>
            </w:pPr>
            <w:r>
              <w:rPr>
                <w:rFonts w:ascii="宋体" w:hAnsi="宋体" w:cs="宋体"/>
                <w:color w:val="000000"/>
                <w:kern w:val="0"/>
                <w:sz w:val="24"/>
              </w:rPr>
              <w:t>岗位名称</w:t>
            </w:r>
          </w:p>
        </w:tc>
        <w:tc>
          <w:tcPr>
            <w:tcW w:w="1411" w:type="dxa"/>
            <w:noWrap w:val="0"/>
            <w:tcMar>
              <w:top w:w="0" w:type="dxa"/>
              <w:left w:w="108" w:type="dxa"/>
              <w:bottom w:w="0" w:type="dxa"/>
              <w:right w:w="108" w:type="dxa"/>
            </w:tcMar>
            <w:vAlign w:val="center"/>
          </w:tcPr>
          <w:p w14:paraId="6C12E468">
            <w:pPr>
              <w:widowControl/>
              <w:spacing w:line="375" w:lineRule="atLeast"/>
              <w:jc w:val="center"/>
              <w:rPr>
                <w:rFonts w:ascii="宋体" w:hAnsi="宋体" w:cs="宋体"/>
                <w:kern w:val="0"/>
                <w:sz w:val="24"/>
              </w:rPr>
            </w:pPr>
            <w:r>
              <w:rPr>
                <w:rFonts w:ascii="宋体" w:hAnsi="宋体" w:cs="宋体"/>
                <w:color w:val="000000"/>
                <w:kern w:val="0"/>
                <w:sz w:val="24"/>
              </w:rPr>
              <w:t>职业病危害因素</w:t>
            </w:r>
          </w:p>
        </w:tc>
        <w:tc>
          <w:tcPr>
            <w:tcW w:w="2385" w:type="dxa"/>
            <w:noWrap w:val="0"/>
            <w:tcMar>
              <w:top w:w="0" w:type="dxa"/>
              <w:left w:w="108" w:type="dxa"/>
              <w:bottom w:w="0" w:type="dxa"/>
              <w:right w:w="108" w:type="dxa"/>
            </w:tcMar>
            <w:vAlign w:val="center"/>
          </w:tcPr>
          <w:p w14:paraId="05A4AEAB">
            <w:pPr>
              <w:widowControl/>
              <w:spacing w:line="375" w:lineRule="atLeast"/>
              <w:jc w:val="center"/>
              <w:rPr>
                <w:rFonts w:ascii="宋体" w:hAnsi="宋体" w:cs="宋体"/>
                <w:kern w:val="0"/>
                <w:sz w:val="24"/>
              </w:rPr>
            </w:pPr>
            <w:r>
              <w:rPr>
                <w:rFonts w:ascii="宋体" w:hAnsi="宋体" w:cs="宋体"/>
                <w:color w:val="000000"/>
                <w:kern w:val="0"/>
                <w:sz w:val="24"/>
              </w:rPr>
              <w:t>职业禁忌证</w:t>
            </w:r>
          </w:p>
        </w:tc>
        <w:tc>
          <w:tcPr>
            <w:tcW w:w="1639" w:type="dxa"/>
            <w:noWrap w:val="0"/>
            <w:tcMar>
              <w:top w:w="0" w:type="dxa"/>
              <w:left w:w="108" w:type="dxa"/>
              <w:bottom w:w="0" w:type="dxa"/>
              <w:right w:w="108" w:type="dxa"/>
            </w:tcMar>
            <w:vAlign w:val="center"/>
          </w:tcPr>
          <w:p w14:paraId="7E63A47B">
            <w:pPr>
              <w:widowControl/>
              <w:spacing w:line="375" w:lineRule="atLeast"/>
              <w:jc w:val="center"/>
              <w:rPr>
                <w:rFonts w:ascii="宋体" w:hAnsi="宋体" w:cs="宋体"/>
                <w:kern w:val="0"/>
                <w:sz w:val="24"/>
              </w:rPr>
            </w:pPr>
            <w:r>
              <w:rPr>
                <w:rFonts w:ascii="宋体" w:hAnsi="宋体" w:cs="宋体"/>
                <w:color w:val="000000"/>
                <w:kern w:val="0"/>
                <w:sz w:val="24"/>
              </w:rPr>
              <w:t>可能导致的职业病危害</w:t>
            </w:r>
          </w:p>
        </w:tc>
        <w:tc>
          <w:tcPr>
            <w:tcW w:w="1402" w:type="dxa"/>
            <w:noWrap w:val="0"/>
            <w:tcMar>
              <w:top w:w="0" w:type="dxa"/>
              <w:left w:w="108" w:type="dxa"/>
              <w:bottom w:w="0" w:type="dxa"/>
              <w:right w:w="108" w:type="dxa"/>
            </w:tcMar>
            <w:vAlign w:val="center"/>
          </w:tcPr>
          <w:p w14:paraId="63D64EBA">
            <w:pPr>
              <w:widowControl/>
              <w:spacing w:line="375" w:lineRule="atLeast"/>
              <w:jc w:val="center"/>
              <w:rPr>
                <w:rFonts w:ascii="宋体" w:hAnsi="宋体" w:cs="宋体"/>
                <w:kern w:val="0"/>
                <w:sz w:val="24"/>
              </w:rPr>
            </w:pPr>
            <w:r>
              <w:rPr>
                <w:rFonts w:ascii="宋体" w:hAnsi="宋体" w:cs="宋体"/>
                <w:color w:val="000000"/>
                <w:kern w:val="0"/>
                <w:sz w:val="24"/>
              </w:rPr>
              <w:t>职业病防护措施</w:t>
            </w:r>
          </w:p>
        </w:tc>
      </w:tr>
      <w:tr w14:paraId="185B24D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2142" w:hRule="atLeast"/>
          <w:jc w:val="center"/>
        </w:trPr>
        <w:tc>
          <w:tcPr>
            <w:tcW w:w="1685" w:type="dxa"/>
            <w:noWrap w:val="0"/>
            <w:tcMar>
              <w:top w:w="0" w:type="dxa"/>
              <w:left w:w="108" w:type="dxa"/>
              <w:bottom w:w="0" w:type="dxa"/>
              <w:right w:w="108" w:type="dxa"/>
            </w:tcMar>
            <w:vAlign w:val="center"/>
          </w:tcPr>
          <w:p w14:paraId="4D97396D">
            <w:pPr>
              <w:widowControl/>
              <w:spacing w:line="375" w:lineRule="atLeast"/>
              <w:ind w:firstLine="480" w:firstLineChars="200"/>
              <w:jc w:val="left"/>
              <w:rPr>
                <w:rFonts w:hint="eastAsia" w:ascii="宋体" w:hAnsi="宋体" w:cs="宋体"/>
                <w:kern w:val="0"/>
                <w:sz w:val="24"/>
              </w:rPr>
            </w:pPr>
            <w:r>
              <w:rPr>
                <w:rFonts w:hint="eastAsia" w:ascii="宋体" w:hAnsi="宋体" w:cs="宋体"/>
                <w:kern w:val="0"/>
                <w:sz w:val="24"/>
              </w:rPr>
              <w:t>技术部</w:t>
            </w:r>
          </w:p>
          <w:p w14:paraId="2336BBF7">
            <w:pPr>
              <w:widowControl/>
              <w:spacing w:line="375" w:lineRule="atLeast"/>
              <w:ind w:firstLine="240" w:firstLineChars="100"/>
              <w:jc w:val="left"/>
              <w:rPr>
                <w:rFonts w:hint="eastAsia" w:ascii="宋体" w:hAnsi="宋体" w:cs="宋体"/>
                <w:kern w:val="0"/>
                <w:sz w:val="24"/>
              </w:rPr>
            </w:pPr>
            <w:r>
              <w:rPr>
                <w:rFonts w:hint="eastAsia" w:ascii="宋体" w:hAnsi="宋体" w:cs="宋体"/>
                <w:kern w:val="0"/>
                <w:sz w:val="24"/>
                <w:lang w:val="en-US" w:eastAsia="zh-CN"/>
              </w:rPr>
              <w:t>驻外</w:t>
            </w:r>
            <w:r>
              <w:rPr>
                <w:rFonts w:hint="eastAsia" w:ascii="宋体" w:hAnsi="宋体" w:cs="宋体"/>
                <w:kern w:val="0"/>
                <w:sz w:val="24"/>
              </w:rPr>
              <w:t>技术员</w:t>
            </w:r>
          </w:p>
          <w:p w14:paraId="51F06247">
            <w:pPr>
              <w:widowControl/>
              <w:spacing w:line="375" w:lineRule="atLeast"/>
              <w:jc w:val="left"/>
              <w:rPr>
                <w:rFonts w:hint="eastAsia" w:ascii="宋体" w:hAnsi="宋体" w:cs="宋体"/>
                <w:kern w:val="0"/>
                <w:sz w:val="24"/>
                <w:lang w:val="en-US" w:eastAsia="zh-CN"/>
              </w:rPr>
            </w:pPr>
            <w:r>
              <w:rPr>
                <w:rFonts w:hint="eastAsia" w:ascii="宋体" w:hAnsi="宋体" w:cs="宋体"/>
                <w:kern w:val="0"/>
                <w:sz w:val="24"/>
                <w:lang w:eastAsia="zh-CN"/>
              </w:rPr>
              <w:t>（</w:t>
            </w:r>
            <w:r>
              <w:rPr>
                <w:rFonts w:hint="eastAsia" w:ascii="宋体" w:hAnsi="宋体" w:cs="宋体"/>
                <w:kern w:val="0"/>
                <w:sz w:val="24"/>
                <w:lang w:val="en-US" w:eastAsia="zh-CN"/>
              </w:rPr>
              <w:t>东莞时兴）</w:t>
            </w:r>
          </w:p>
          <w:p w14:paraId="71EA4623">
            <w:pPr>
              <w:widowControl/>
              <w:spacing w:line="375" w:lineRule="atLeast"/>
              <w:jc w:val="left"/>
              <w:rPr>
                <w:rFonts w:hint="default" w:ascii="宋体" w:hAnsi="宋体" w:cs="宋体"/>
                <w:kern w:val="0"/>
                <w:sz w:val="24"/>
                <w:lang w:val="en-US" w:eastAsia="zh-CN"/>
              </w:rPr>
            </w:pPr>
            <w:r>
              <w:rPr>
                <w:rFonts w:hint="eastAsia" w:ascii="宋体" w:hAnsi="宋体" w:cs="宋体"/>
                <w:kern w:val="0"/>
                <w:sz w:val="24"/>
                <w:lang w:val="en-US" w:eastAsia="zh-CN"/>
              </w:rPr>
              <w:t>（在岗期间）</w:t>
            </w:r>
          </w:p>
          <w:p w14:paraId="0C6BFBE3">
            <w:pPr>
              <w:widowControl/>
              <w:spacing w:line="375" w:lineRule="atLeast"/>
              <w:jc w:val="left"/>
              <w:rPr>
                <w:rFonts w:ascii="宋体" w:hAnsi="宋体" w:cs="宋体"/>
                <w:kern w:val="0"/>
                <w:sz w:val="24"/>
              </w:rPr>
            </w:pPr>
          </w:p>
        </w:tc>
        <w:tc>
          <w:tcPr>
            <w:tcW w:w="1411" w:type="dxa"/>
            <w:noWrap w:val="0"/>
            <w:tcMar>
              <w:top w:w="0" w:type="dxa"/>
              <w:left w:w="108" w:type="dxa"/>
              <w:bottom w:w="0" w:type="dxa"/>
              <w:right w:w="108" w:type="dxa"/>
            </w:tcMar>
            <w:vAlign w:val="center"/>
          </w:tcPr>
          <w:p w14:paraId="672CB105">
            <w:pPr>
              <w:widowControl/>
              <w:spacing w:line="375" w:lineRule="atLeast"/>
              <w:jc w:val="left"/>
              <w:rPr>
                <w:rFonts w:hint="default" w:ascii="宋体" w:hAnsi="宋体" w:eastAsia="宋体" w:cs="宋体"/>
                <w:w w:val="99"/>
                <w:sz w:val="20"/>
                <w:szCs w:val="20"/>
                <w:lang w:val="en-US" w:eastAsia="zh-CN"/>
              </w:rPr>
            </w:pPr>
            <w:r>
              <w:rPr>
                <w:rFonts w:hint="eastAsia" w:ascii="宋体" w:hAnsi="宋体" w:eastAsia="宋体" w:cs="宋体"/>
                <w:w w:val="99"/>
                <w:sz w:val="20"/>
                <w:szCs w:val="20"/>
                <w:lang w:val="en-US" w:eastAsia="zh-CN"/>
              </w:rPr>
              <w:t>噪声，紫外辐射、二甲苯、乙苯、正己烷、乙酸甲酯、乙酸乙酯、乙酸丁酯、丙酮、环己烷、甲醇</w:t>
            </w:r>
          </w:p>
        </w:tc>
        <w:tc>
          <w:tcPr>
            <w:tcW w:w="2385" w:type="dxa"/>
            <w:noWrap w:val="0"/>
            <w:tcMar>
              <w:top w:w="0" w:type="dxa"/>
              <w:left w:w="108" w:type="dxa"/>
              <w:bottom w:w="0" w:type="dxa"/>
              <w:right w:w="108" w:type="dxa"/>
            </w:tcMar>
            <w:vAlign w:val="center"/>
          </w:tcPr>
          <w:p w14:paraId="2C750F5C">
            <w:pPr>
              <w:keepNext w:val="0"/>
              <w:keepLines w:val="0"/>
              <w:widowControl/>
              <w:suppressLineNumbers w:val="0"/>
              <w:jc w:val="left"/>
              <w:rPr>
                <w:rFonts w:hint="eastAsia" w:ascii="宋体" w:hAnsi="宋体" w:eastAsia="宋体" w:cs="宋体"/>
                <w:b/>
                <w:bCs/>
                <w:w w:val="99"/>
                <w:sz w:val="20"/>
                <w:szCs w:val="20"/>
              </w:rPr>
            </w:pPr>
          </w:p>
          <w:p w14:paraId="1EAB31B2">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噪声：</w:t>
            </w:r>
          </w:p>
          <w:p w14:paraId="36B25995">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a) 500 Hz、1000 Hz和2000 Hz中任一频率纯音气导听阈＞25 dBHL的永久性感音神经性听力损失；</w:t>
            </w:r>
          </w:p>
          <w:p w14:paraId="24865436">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b) 高频段3000 Hz、4000 Hz、6000 Hz双耳平均听阈≥40 dBHL，且较好耳语频（500 Hz、1000 Hz</w:t>
            </w:r>
          </w:p>
          <w:p w14:paraId="65D2E5E3">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和2000 Hz）和高频（4000 Hz）听阈加权值≥26 dBHL（按GBZ 49）；</w:t>
            </w:r>
          </w:p>
          <w:p w14:paraId="38AADCB7">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c) 任一耳传导性听力损失，语频平均听阈≥41 dBHL。</w:t>
            </w:r>
          </w:p>
          <w:p w14:paraId="2DEF8FA9">
            <w:pPr>
              <w:keepNext w:val="0"/>
              <w:keepLines w:val="0"/>
              <w:widowControl/>
              <w:suppressLineNumbers w:val="0"/>
              <w:jc w:val="left"/>
              <w:rPr>
                <w:rFonts w:hint="default" w:ascii="宋体" w:hAnsi="宋体" w:eastAsia="宋体" w:cs="宋体"/>
                <w:color w:val="000000"/>
                <w:kern w:val="0"/>
                <w:sz w:val="21"/>
                <w:szCs w:val="21"/>
                <w:lang w:val="en-US" w:eastAsia="zh-CN" w:bidi="ar"/>
              </w:rPr>
            </w:pPr>
          </w:p>
          <w:p w14:paraId="02B2FB7F">
            <w:pPr>
              <w:keepNext w:val="0"/>
              <w:keepLines w:val="0"/>
              <w:widowControl/>
              <w:suppressLineNumbers w:val="0"/>
              <w:jc w:val="left"/>
              <w:rPr>
                <w:rFonts w:hint="eastAsia" w:ascii="宋体" w:hAnsi="宋体" w:eastAsia="宋体" w:cs="宋体"/>
                <w:b/>
                <w:bCs/>
                <w:w w:val="99"/>
                <w:sz w:val="20"/>
                <w:szCs w:val="20"/>
                <w:lang w:val="en-US" w:eastAsia="zh-CN"/>
              </w:rPr>
            </w:pPr>
            <w:r>
              <w:rPr>
                <w:rFonts w:hint="eastAsia" w:ascii="宋体" w:hAnsi="宋体" w:eastAsia="宋体" w:cs="宋体"/>
                <w:b/>
                <w:bCs/>
                <w:w w:val="99"/>
                <w:sz w:val="20"/>
                <w:szCs w:val="20"/>
                <w:lang w:val="en-US" w:eastAsia="zh-CN"/>
              </w:rPr>
              <w:t>紫外辐射：</w:t>
            </w:r>
          </w:p>
          <w:p w14:paraId="2EE17B53">
            <w:pPr>
              <w:keepNext w:val="0"/>
              <w:keepLines w:val="0"/>
              <w:widowControl/>
              <w:suppressLineNumbers w:val="0"/>
              <w:jc w:val="left"/>
              <w:rPr>
                <w:rFonts w:hint="default" w:ascii="宋体" w:hAnsi="宋体" w:eastAsia="宋体" w:cs="宋体"/>
                <w:b w:val="0"/>
                <w:bCs w:val="0"/>
                <w:w w:val="99"/>
                <w:sz w:val="20"/>
                <w:szCs w:val="20"/>
                <w:lang w:val="en-US" w:eastAsia="zh-CN"/>
              </w:rPr>
            </w:pPr>
            <w:r>
              <w:rPr>
                <w:rFonts w:hint="default" w:ascii="宋体" w:hAnsi="宋体" w:eastAsia="宋体" w:cs="宋体"/>
                <w:b w:val="0"/>
                <w:bCs w:val="0"/>
                <w:w w:val="99"/>
                <w:sz w:val="20"/>
                <w:szCs w:val="20"/>
                <w:lang w:val="en-US" w:eastAsia="zh-CN"/>
              </w:rPr>
              <w:t>a) 活动性角膜疾病；</w:t>
            </w:r>
          </w:p>
          <w:p w14:paraId="258E984F">
            <w:pPr>
              <w:keepNext w:val="0"/>
              <w:keepLines w:val="0"/>
              <w:widowControl/>
              <w:suppressLineNumbers w:val="0"/>
              <w:jc w:val="left"/>
              <w:rPr>
                <w:rFonts w:hint="default" w:ascii="宋体" w:hAnsi="宋体" w:eastAsia="宋体" w:cs="宋体"/>
                <w:b w:val="0"/>
                <w:bCs w:val="0"/>
                <w:w w:val="99"/>
                <w:sz w:val="20"/>
                <w:szCs w:val="20"/>
                <w:lang w:val="en-US" w:eastAsia="zh-CN"/>
              </w:rPr>
            </w:pPr>
            <w:r>
              <w:rPr>
                <w:rFonts w:hint="default" w:ascii="宋体" w:hAnsi="宋体" w:eastAsia="宋体" w:cs="宋体"/>
                <w:b w:val="0"/>
                <w:bCs w:val="0"/>
                <w:w w:val="99"/>
                <w:sz w:val="20"/>
                <w:szCs w:val="20"/>
                <w:lang w:val="en-US" w:eastAsia="zh-CN"/>
              </w:rPr>
              <w:t>b) 白内障；</w:t>
            </w:r>
          </w:p>
          <w:p w14:paraId="312C6950">
            <w:pPr>
              <w:keepNext w:val="0"/>
              <w:keepLines w:val="0"/>
              <w:widowControl/>
              <w:suppressLineNumbers w:val="0"/>
              <w:jc w:val="left"/>
              <w:rPr>
                <w:rFonts w:hint="default" w:ascii="宋体" w:hAnsi="宋体" w:eastAsia="宋体" w:cs="宋体"/>
                <w:b w:val="0"/>
                <w:bCs w:val="0"/>
                <w:w w:val="99"/>
                <w:sz w:val="20"/>
                <w:szCs w:val="20"/>
                <w:lang w:val="en-US" w:eastAsia="zh-CN"/>
              </w:rPr>
            </w:pPr>
            <w:r>
              <w:rPr>
                <w:rFonts w:hint="default" w:ascii="宋体" w:hAnsi="宋体" w:eastAsia="宋体" w:cs="宋体"/>
                <w:b w:val="0"/>
                <w:bCs w:val="0"/>
                <w:w w:val="99"/>
                <w:sz w:val="20"/>
                <w:szCs w:val="20"/>
                <w:lang w:val="en-US" w:eastAsia="zh-CN"/>
              </w:rPr>
              <w:t>c) 面、手背和前臂等暴露部位严重慢性皮肤疾病；</w:t>
            </w:r>
          </w:p>
          <w:p w14:paraId="2D2AA7BB">
            <w:pPr>
              <w:keepNext w:val="0"/>
              <w:keepLines w:val="0"/>
              <w:widowControl/>
              <w:suppressLineNumbers w:val="0"/>
              <w:jc w:val="left"/>
              <w:rPr>
                <w:rFonts w:hint="default" w:ascii="宋体" w:hAnsi="宋体" w:eastAsia="宋体" w:cs="宋体"/>
                <w:b w:val="0"/>
                <w:bCs w:val="0"/>
                <w:w w:val="99"/>
                <w:sz w:val="20"/>
                <w:szCs w:val="20"/>
                <w:lang w:val="en-US" w:eastAsia="zh-CN"/>
              </w:rPr>
            </w:pPr>
            <w:r>
              <w:rPr>
                <w:rFonts w:hint="default" w:ascii="宋体" w:hAnsi="宋体" w:eastAsia="宋体" w:cs="宋体"/>
                <w:b w:val="0"/>
                <w:bCs w:val="0"/>
                <w:w w:val="99"/>
                <w:sz w:val="20"/>
                <w:szCs w:val="20"/>
                <w:lang w:val="en-US" w:eastAsia="zh-CN"/>
              </w:rPr>
              <w:t>d) 白化病。</w:t>
            </w:r>
          </w:p>
          <w:p w14:paraId="57BA5667">
            <w:pPr>
              <w:keepNext w:val="0"/>
              <w:keepLines w:val="0"/>
              <w:widowControl/>
              <w:suppressLineNumbers w:val="0"/>
              <w:jc w:val="left"/>
              <w:rPr>
                <w:rFonts w:hint="default" w:ascii="宋体" w:hAnsi="宋体" w:eastAsia="宋体" w:cs="宋体"/>
                <w:b w:val="0"/>
                <w:bCs w:val="0"/>
                <w:w w:val="99"/>
                <w:sz w:val="20"/>
                <w:szCs w:val="20"/>
                <w:lang w:val="en-US" w:eastAsia="zh-CN"/>
              </w:rPr>
            </w:pPr>
          </w:p>
          <w:p w14:paraId="7B610369">
            <w:pPr>
              <w:keepNext w:val="0"/>
              <w:keepLines w:val="0"/>
              <w:widowControl/>
              <w:suppressLineNumbers w:val="0"/>
              <w:jc w:val="left"/>
              <w:rPr>
                <w:rFonts w:hint="default" w:ascii="宋体" w:hAnsi="宋体" w:eastAsia="宋体" w:cs="宋体"/>
                <w:b/>
                <w:bCs/>
                <w:w w:val="99"/>
                <w:sz w:val="20"/>
                <w:szCs w:val="20"/>
                <w:lang w:val="en-US" w:eastAsia="zh-CN"/>
              </w:rPr>
            </w:pPr>
            <w:r>
              <w:rPr>
                <w:rFonts w:hint="eastAsia" w:ascii="宋体" w:hAnsi="宋体" w:eastAsia="宋体" w:cs="宋体"/>
                <w:b/>
                <w:bCs/>
                <w:w w:val="99"/>
                <w:sz w:val="20"/>
                <w:szCs w:val="20"/>
                <w:lang w:val="en-US" w:eastAsia="zh-CN"/>
              </w:rPr>
              <w:t>二甲苯：</w:t>
            </w:r>
          </w:p>
          <w:p w14:paraId="384A37B4">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中枢神经系统器质性疾病。</w:t>
            </w:r>
          </w:p>
          <w:p w14:paraId="33A7B1E1">
            <w:pPr>
              <w:keepNext w:val="0"/>
              <w:keepLines w:val="0"/>
              <w:widowControl/>
              <w:suppressLineNumbers w:val="0"/>
              <w:jc w:val="left"/>
              <w:rPr>
                <w:rFonts w:hint="default" w:ascii="宋体" w:hAnsi="宋体" w:eastAsia="宋体" w:cs="宋体"/>
                <w:color w:val="000000"/>
                <w:kern w:val="0"/>
                <w:sz w:val="21"/>
                <w:szCs w:val="21"/>
                <w:lang w:val="en-US" w:eastAsia="zh-CN" w:bidi="ar"/>
              </w:rPr>
            </w:pPr>
          </w:p>
          <w:p w14:paraId="6E07B4DC">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甲醇：</w:t>
            </w:r>
          </w:p>
          <w:p w14:paraId="3D8C20A5">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a) 视网膜及视神经疾病；</w:t>
            </w:r>
          </w:p>
          <w:p w14:paraId="74A8A02D">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b) 中枢神经系统器质性疾病。</w:t>
            </w:r>
          </w:p>
          <w:p w14:paraId="5E940FB5">
            <w:pPr>
              <w:keepNext w:val="0"/>
              <w:keepLines w:val="0"/>
              <w:widowControl/>
              <w:suppressLineNumbers w:val="0"/>
              <w:jc w:val="left"/>
              <w:rPr>
                <w:rFonts w:hint="default" w:ascii="宋体" w:hAnsi="宋体" w:eastAsia="宋体" w:cs="宋体"/>
                <w:color w:val="000000"/>
                <w:kern w:val="0"/>
                <w:sz w:val="21"/>
                <w:szCs w:val="21"/>
                <w:lang w:val="en-US" w:eastAsia="zh-CN" w:bidi="ar"/>
              </w:rPr>
            </w:pPr>
          </w:p>
          <w:p w14:paraId="015EBCC4">
            <w:pPr>
              <w:keepNext w:val="0"/>
              <w:keepLines w:val="0"/>
              <w:widowControl/>
              <w:suppressLineNumbers w:val="0"/>
              <w:jc w:val="left"/>
              <w:rPr>
                <w:rFonts w:hint="default" w:ascii="宋体" w:hAnsi="宋体" w:eastAsia="宋体" w:cs="宋体"/>
                <w:color w:val="000000"/>
                <w:kern w:val="0"/>
                <w:sz w:val="21"/>
                <w:szCs w:val="21"/>
                <w:lang w:val="en-US" w:eastAsia="zh-CN" w:bidi="ar"/>
              </w:rPr>
            </w:pPr>
          </w:p>
          <w:p w14:paraId="0E530E5D">
            <w:pPr>
              <w:keepNext w:val="0"/>
              <w:keepLines w:val="0"/>
              <w:widowControl/>
              <w:suppressLineNumbers w:val="0"/>
              <w:jc w:val="left"/>
              <w:rPr>
                <w:rFonts w:hint="default" w:ascii="宋体" w:hAnsi="宋体" w:eastAsia="宋体" w:cs="宋体"/>
                <w:color w:val="000000"/>
                <w:kern w:val="0"/>
                <w:sz w:val="21"/>
                <w:szCs w:val="21"/>
                <w:lang w:val="en-US" w:eastAsia="zh-CN" w:bidi="ar"/>
              </w:rPr>
            </w:pPr>
          </w:p>
          <w:p w14:paraId="7FEC8CE7">
            <w:pPr>
              <w:keepNext w:val="0"/>
              <w:keepLines w:val="0"/>
              <w:widowControl/>
              <w:suppressLineNumbers w:val="0"/>
              <w:jc w:val="left"/>
              <w:rPr>
                <w:rFonts w:hint="default" w:ascii="宋体" w:hAnsi="宋体" w:eastAsia="宋体" w:cs="宋体"/>
                <w:color w:val="000000"/>
                <w:kern w:val="0"/>
                <w:sz w:val="21"/>
                <w:szCs w:val="21"/>
                <w:lang w:val="en-US" w:eastAsia="zh-CN" w:bidi="ar"/>
              </w:rPr>
            </w:pPr>
          </w:p>
          <w:p w14:paraId="0301630E">
            <w:pPr>
              <w:keepNext w:val="0"/>
              <w:keepLines w:val="0"/>
              <w:widowControl/>
              <w:suppressLineNumbers w:val="0"/>
              <w:jc w:val="left"/>
              <w:rPr>
                <w:rFonts w:hint="default" w:ascii="宋体" w:hAnsi="宋体" w:eastAsia="宋体" w:cs="宋体"/>
                <w:color w:val="000000"/>
                <w:kern w:val="0"/>
                <w:sz w:val="21"/>
                <w:szCs w:val="21"/>
                <w:lang w:val="en-US" w:eastAsia="zh-CN" w:bidi="ar"/>
              </w:rPr>
            </w:pPr>
          </w:p>
        </w:tc>
        <w:tc>
          <w:tcPr>
            <w:tcW w:w="1639" w:type="dxa"/>
            <w:noWrap w:val="0"/>
            <w:tcMar>
              <w:top w:w="0" w:type="dxa"/>
              <w:left w:w="108" w:type="dxa"/>
              <w:bottom w:w="0" w:type="dxa"/>
              <w:right w:w="108" w:type="dxa"/>
            </w:tcMar>
            <w:vAlign w:val="center"/>
          </w:tcPr>
          <w:p w14:paraId="467D6E6B">
            <w:pPr>
              <w:widowControl/>
              <w:spacing w:line="375" w:lineRule="atLeast"/>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噪声：</w:t>
            </w:r>
          </w:p>
          <w:p w14:paraId="558C4871">
            <w:pPr>
              <w:widowControl/>
              <w:spacing w:line="375" w:lineRule="atLeast"/>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职业性噪声聋（按GBZ 49）</w:t>
            </w:r>
          </w:p>
          <w:p w14:paraId="0D0FD413">
            <w:pPr>
              <w:widowControl/>
              <w:spacing w:line="375" w:lineRule="atLeast"/>
              <w:jc w:val="left"/>
              <w:rPr>
                <w:rFonts w:hint="eastAsia" w:ascii="宋体" w:hAnsi="宋体" w:eastAsia="宋体" w:cs="宋体"/>
                <w:b w:val="0"/>
                <w:bCs w:val="0"/>
                <w:color w:val="000000"/>
                <w:kern w:val="0"/>
                <w:sz w:val="21"/>
                <w:szCs w:val="21"/>
                <w:lang w:val="en-US" w:eastAsia="zh-CN" w:bidi="ar"/>
              </w:rPr>
            </w:pPr>
          </w:p>
          <w:p w14:paraId="2BC11F87">
            <w:pPr>
              <w:keepNext w:val="0"/>
              <w:keepLines w:val="0"/>
              <w:widowControl/>
              <w:suppressLineNumbers w:val="0"/>
              <w:jc w:val="left"/>
              <w:rPr>
                <w:rFonts w:hint="eastAsia" w:ascii="宋体" w:hAnsi="宋体" w:eastAsia="宋体" w:cs="宋体"/>
                <w:b/>
                <w:bCs/>
                <w:w w:val="99"/>
                <w:sz w:val="20"/>
                <w:szCs w:val="20"/>
                <w:lang w:val="en-US" w:eastAsia="zh-CN"/>
              </w:rPr>
            </w:pPr>
            <w:r>
              <w:rPr>
                <w:rFonts w:hint="eastAsia" w:ascii="宋体" w:hAnsi="宋体" w:eastAsia="宋体" w:cs="宋体"/>
                <w:b/>
                <w:bCs/>
                <w:w w:val="99"/>
                <w:sz w:val="20"/>
                <w:szCs w:val="20"/>
                <w:lang w:val="en-US" w:eastAsia="zh-CN"/>
              </w:rPr>
              <w:t>紫外辐射：</w:t>
            </w:r>
          </w:p>
          <w:p w14:paraId="3197E2F2">
            <w:pPr>
              <w:widowControl/>
              <w:spacing w:line="375" w:lineRule="atLeast"/>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职业性白内障（按GBZ 35）</w:t>
            </w:r>
          </w:p>
          <w:p w14:paraId="354E60AB">
            <w:pPr>
              <w:widowControl/>
              <w:spacing w:line="375" w:lineRule="atLeast"/>
              <w:jc w:val="left"/>
              <w:rPr>
                <w:rFonts w:hint="eastAsia" w:ascii="宋体" w:hAnsi="宋体" w:eastAsia="宋体" w:cs="宋体"/>
                <w:b/>
                <w:bCs/>
                <w:color w:val="000000"/>
                <w:kern w:val="0"/>
                <w:sz w:val="21"/>
                <w:szCs w:val="21"/>
                <w:lang w:val="en-US" w:eastAsia="zh-CN" w:bidi="ar"/>
              </w:rPr>
            </w:pPr>
          </w:p>
          <w:p w14:paraId="037A2EC4">
            <w:pPr>
              <w:keepNext w:val="0"/>
              <w:keepLines w:val="0"/>
              <w:widowControl/>
              <w:suppressLineNumbers w:val="0"/>
              <w:jc w:val="left"/>
              <w:rPr>
                <w:rFonts w:hint="default" w:ascii="宋体" w:hAnsi="宋体" w:eastAsia="宋体" w:cs="宋体"/>
                <w:b/>
                <w:bCs/>
                <w:w w:val="99"/>
                <w:sz w:val="20"/>
                <w:szCs w:val="20"/>
                <w:lang w:val="en-US" w:eastAsia="zh-CN"/>
              </w:rPr>
            </w:pPr>
            <w:r>
              <w:rPr>
                <w:rFonts w:hint="eastAsia" w:ascii="宋体" w:hAnsi="宋体" w:eastAsia="宋体" w:cs="宋体"/>
                <w:b/>
                <w:bCs/>
                <w:w w:val="99"/>
                <w:sz w:val="20"/>
                <w:szCs w:val="20"/>
                <w:lang w:val="en-US" w:eastAsia="zh-CN"/>
              </w:rPr>
              <w:t>二甲苯：</w:t>
            </w:r>
          </w:p>
          <w:p w14:paraId="38F065AD">
            <w:pPr>
              <w:widowControl/>
              <w:spacing w:line="375" w:lineRule="atLeast"/>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a) 职业性急性甲苯中毒（按GBZ 16）；</w:t>
            </w:r>
          </w:p>
          <w:p w14:paraId="2A82A1FD">
            <w:pPr>
              <w:widowControl/>
              <w:spacing w:line="375" w:lineRule="atLeast"/>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b) 职业性化学性皮肤灼伤（按GBZ 51）；</w:t>
            </w:r>
          </w:p>
          <w:p w14:paraId="0EF86432">
            <w:pPr>
              <w:widowControl/>
              <w:spacing w:line="375" w:lineRule="atLeast"/>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c) 职业性化学性眼灼伤（按GBZ 54）。</w:t>
            </w:r>
          </w:p>
          <w:p w14:paraId="27C0847A">
            <w:pPr>
              <w:widowControl/>
              <w:spacing w:line="375" w:lineRule="atLeast"/>
              <w:jc w:val="left"/>
              <w:rPr>
                <w:rFonts w:hint="eastAsia" w:ascii="宋体" w:hAnsi="宋体" w:eastAsia="宋体" w:cs="宋体"/>
                <w:b/>
                <w:bCs/>
                <w:color w:val="000000"/>
                <w:kern w:val="0"/>
                <w:sz w:val="21"/>
                <w:szCs w:val="21"/>
                <w:lang w:val="en-US" w:eastAsia="zh-CN" w:bidi="ar"/>
              </w:rPr>
            </w:pPr>
          </w:p>
          <w:p w14:paraId="24FF390D">
            <w:pPr>
              <w:widowControl/>
              <w:spacing w:line="375" w:lineRule="atLeast"/>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甲醇：</w:t>
            </w:r>
          </w:p>
          <w:p w14:paraId="02E0ED27">
            <w:pPr>
              <w:widowControl/>
              <w:spacing w:line="375" w:lineRule="atLeast"/>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职业性急性甲醇中毒（按 GBZ 53）</w:t>
            </w:r>
          </w:p>
          <w:p w14:paraId="27E652BC">
            <w:pPr>
              <w:widowControl/>
              <w:spacing w:line="375" w:lineRule="atLeast"/>
              <w:jc w:val="left"/>
              <w:rPr>
                <w:rFonts w:hint="eastAsia" w:ascii="宋体" w:hAnsi="宋体" w:eastAsia="宋体" w:cs="宋体"/>
                <w:b/>
                <w:bCs/>
                <w:color w:val="000000"/>
                <w:kern w:val="0"/>
                <w:sz w:val="21"/>
                <w:szCs w:val="21"/>
                <w:lang w:val="en-US" w:eastAsia="zh-CN" w:bidi="ar"/>
              </w:rPr>
            </w:pPr>
          </w:p>
          <w:p w14:paraId="68E3B8A2">
            <w:pPr>
              <w:widowControl/>
              <w:spacing w:line="375" w:lineRule="atLeast"/>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除上述外，</w:t>
            </w:r>
          </w:p>
          <w:p w14:paraId="24C3A311">
            <w:pPr>
              <w:widowControl/>
              <w:spacing w:line="375" w:lineRule="atLeast"/>
              <w:jc w:val="left"/>
              <w:rPr>
                <w:rFonts w:ascii="宋体" w:hAnsi="宋体" w:cs="宋体"/>
                <w:kern w:val="0"/>
                <w:sz w:val="24"/>
              </w:rPr>
            </w:pPr>
            <w:r>
              <w:rPr>
                <w:rFonts w:hint="eastAsia" w:ascii="宋体" w:hAnsi="宋体" w:cs="宋体"/>
                <w:kern w:val="0"/>
                <w:szCs w:val="21"/>
              </w:rPr>
              <w:t>GBZ188-20</w:t>
            </w:r>
            <w:r>
              <w:rPr>
                <w:rFonts w:hint="eastAsia" w:ascii="宋体" w:hAnsi="宋体" w:cs="宋体"/>
                <w:kern w:val="0"/>
                <w:szCs w:val="21"/>
                <w:lang w:val="en-US" w:eastAsia="zh-CN"/>
              </w:rPr>
              <w:t>25</w:t>
            </w:r>
            <w:r>
              <w:rPr>
                <w:rFonts w:hint="eastAsia" w:ascii="宋体" w:hAnsi="宋体" w:cs="宋体"/>
                <w:kern w:val="0"/>
                <w:szCs w:val="21"/>
              </w:rPr>
              <w:t>对职业健康检查目标疾病（职业病）未做说明</w:t>
            </w:r>
          </w:p>
        </w:tc>
        <w:tc>
          <w:tcPr>
            <w:tcW w:w="1402" w:type="dxa"/>
            <w:noWrap w:val="0"/>
            <w:tcMar>
              <w:top w:w="0" w:type="dxa"/>
              <w:left w:w="108" w:type="dxa"/>
              <w:bottom w:w="0" w:type="dxa"/>
              <w:right w:w="108" w:type="dxa"/>
            </w:tcMar>
            <w:vAlign w:val="center"/>
          </w:tcPr>
          <w:p w14:paraId="53654390">
            <w:pPr>
              <w:widowControl/>
              <w:spacing w:line="375" w:lineRule="atLeast"/>
              <w:jc w:val="left"/>
              <w:rPr>
                <w:rFonts w:ascii="宋体" w:hAnsi="宋体" w:cs="宋体"/>
                <w:color w:val="000000"/>
                <w:kern w:val="0"/>
                <w:sz w:val="24"/>
              </w:rPr>
            </w:pPr>
            <w:r>
              <w:rPr>
                <w:rFonts w:hint="eastAsia" w:ascii="宋体" w:hAnsi="宋体" w:cs="宋体"/>
                <w:kern w:val="0"/>
                <w:szCs w:val="21"/>
              </w:rPr>
              <w:t>工作服、安全鞋、防毒口罩、防护眼镜、防护手套</w:t>
            </w:r>
            <w:r>
              <w:rPr>
                <w:rFonts w:hint="eastAsia" w:ascii="宋体" w:hAnsi="宋体" w:cs="宋体"/>
                <w:kern w:val="0"/>
                <w:szCs w:val="21"/>
                <w:lang w:eastAsia="zh-CN"/>
              </w:rPr>
              <w:t>、</w:t>
            </w:r>
            <w:r>
              <w:rPr>
                <w:rFonts w:hint="eastAsia" w:ascii="宋体" w:hAnsi="宋体" w:cs="宋体"/>
                <w:kern w:val="0"/>
                <w:szCs w:val="21"/>
              </w:rPr>
              <w:t>防护耳塞</w:t>
            </w:r>
          </w:p>
        </w:tc>
      </w:tr>
    </w:tbl>
    <w:p w14:paraId="2A41BDFA">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二）甲方应依照《职业病防治法》及《职业健康监护技术规范》（GBZ188）的要求，做好乙方上岗前、在岗期间、离岗时的职业健康检查和应急检查。一旦发生职业病，甲方必须按照国家有关法律、法规的要求，为乙方如实提供职业病诊断、鉴定所需的劳动者职业史和职业病危害接触史、工作场所职业病危害因素检测结果等资料及相应待遇。</w:t>
      </w:r>
    </w:p>
    <w:p w14:paraId="1DDA0282">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三）乙方应自觉遵守甲方的职业卫生管理制度和操作规程，正确使用维护职业病防护设施和个人职业病防护用品，积极参加职业卫生知识培训，按要求参加上岗前、在岗期间和离岗时的职业健康检查。若被检查出职业禁忌证或发现与所从事的职业相关的健康损害的，必须服从甲方为保护乙方职业健康而调离原岗位并妥善安置的工作安排。</w:t>
      </w:r>
    </w:p>
    <w:p w14:paraId="4F2ED27B">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（四）当乙方工作岗位或者工作内容发生变更，从事告知书中未告知的存在职业病危害的作业时，甲方应与其协商变更告知书相关内容，重新签订职业病危害告知书。</w:t>
      </w:r>
    </w:p>
    <w:p w14:paraId="218C8154">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（五）甲方未履行职业病危害告知义务，乙方有权拒绝从事存在职业病危害的作业，甲方不得因此解除与乙方所订立的劳动合同。</w:t>
      </w:r>
    </w:p>
    <w:p w14:paraId="7537138E">
      <w:pPr>
        <w:widowControl/>
        <w:spacing w:line="375" w:lineRule="atLeast"/>
        <w:ind w:firstLine="662"/>
        <w:jc w:val="left"/>
        <w:rPr>
          <w:rFonts w:ascii="宋体" w:hAnsi="宋体" w:cs="宋体"/>
          <w:color w:val="000000"/>
          <w:kern w:val="0"/>
          <w:sz w:val="24"/>
        </w:rPr>
      </w:pPr>
      <w:r>
        <w:rPr>
          <w:rFonts w:ascii="宋体" w:hAnsi="宋体" w:cs="宋体"/>
          <w:color w:val="000000"/>
          <w:kern w:val="0"/>
          <w:sz w:val="24"/>
        </w:rPr>
        <w:t>（六）职业病危害告知书作为甲方与乙方签订劳动合同的附件，具有同等的法律效力。</w:t>
      </w:r>
    </w:p>
    <w:p w14:paraId="1203B5C8">
      <w:pPr>
        <w:widowControl/>
        <w:spacing w:line="375" w:lineRule="atLeast"/>
        <w:ind w:firstLine="662"/>
        <w:jc w:val="left"/>
        <w:rPr>
          <w:rFonts w:hint="eastAsia" w:ascii="宋体" w:hAnsi="宋体" w:cs="宋体"/>
          <w:color w:val="000000"/>
          <w:kern w:val="0"/>
          <w:sz w:val="24"/>
        </w:rPr>
      </w:pPr>
    </w:p>
    <w:p w14:paraId="75F9E7D1">
      <w:pPr>
        <w:widowControl/>
        <w:spacing w:line="375" w:lineRule="atLeast"/>
        <w:ind w:firstLine="662"/>
        <w:jc w:val="left"/>
        <w:rPr>
          <w:rFonts w:hint="eastAsia" w:ascii="宋体" w:hAnsi="宋体" w:cs="宋体"/>
          <w:color w:val="000000"/>
          <w:kern w:val="0"/>
          <w:sz w:val="24"/>
        </w:rPr>
      </w:pPr>
      <w:r>
        <w:rPr>
          <w:rFonts w:hint="eastAsia" w:ascii="宋体" w:hAnsi="宋体" w:cs="宋体"/>
          <w:color w:val="000000"/>
          <w:kern w:val="0"/>
          <w:sz w:val="24"/>
        </w:rPr>
        <w:t>甲方签字（签章）                                   乙方（签字）</w:t>
      </w:r>
    </w:p>
    <w:p w14:paraId="34B40E4C">
      <w:pPr>
        <w:widowControl/>
        <w:spacing w:line="375" w:lineRule="atLeast"/>
        <w:ind w:firstLine="662"/>
        <w:jc w:val="left"/>
        <w:rPr>
          <w:rFonts w:hint="eastAsia" w:ascii="宋体" w:hAnsi="宋体" w:cs="宋体"/>
          <w:color w:val="000000"/>
          <w:kern w:val="0"/>
          <w:sz w:val="24"/>
        </w:rPr>
      </w:pPr>
      <w:r>
        <w:rPr>
          <w:rFonts w:hint="eastAsia" w:ascii="宋体" w:hAnsi="宋体" w:cs="宋体"/>
          <w:color w:val="000000"/>
          <w:kern w:val="0"/>
          <w:sz w:val="24"/>
        </w:rPr>
        <w:t xml:space="preserve"> </w:t>
      </w:r>
      <w:r>
        <w:rPr>
          <w:lang/>
        </w:rPr>
        <w:drawing>
          <wp:anchor distT="0" distB="0" distL="114300" distR="114300" simplePos="0" relativeHeight="251659264" behindDoc="0" locked="0" layoutInCell="1" allowOverlap="1">
            <wp:simplePos x="0" y="0"/>
            <wp:positionH relativeFrom="column">
              <wp:posOffset>1143000</wp:posOffset>
            </wp:positionH>
            <wp:positionV relativeFrom="paragraph">
              <wp:posOffset>9387205</wp:posOffset>
            </wp:positionV>
            <wp:extent cx="701040" cy="417195"/>
            <wp:effectExtent l="0" t="0" r="0" b="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
                      <a:clrChange>
                        <a:clrFrom>
                          <a:srgbClr val="FFFFFF"/>
                        </a:clrFrom>
                        <a:clrTo>
                          <a:srgbClr val="FFFFFF">
                            <a:alpha val="0"/>
                          </a:srgbClr>
                        </a:clrTo>
                      </a:clrChange>
                    </a:blip>
                    <a:srcRect l="26820" t="47018" r="51422" b="31389"/>
                    <a:stretch>
                      <a:fillRect/>
                    </a:stretch>
                  </pic:blipFill>
                  <pic:spPr>
                    <a:xfrm>
                      <a:off x="0" y="0"/>
                      <a:ext cx="701040" cy="417195"/>
                    </a:xfrm>
                    <a:prstGeom prst="rect">
                      <a:avLst/>
                    </a:prstGeom>
                    <a:noFill/>
                    <a:ln>
                      <a:noFill/>
                    </a:ln>
                  </pic:spPr>
                </pic:pic>
              </a:graphicData>
            </a:graphic>
          </wp:anchor>
        </w:drawing>
      </w:r>
      <w:r>
        <w:rPr>
          <w:rFonts w:hint="eastAsia" w:ascii="宋体" w:hAnsi="宋体" w:cs="宋体"/>
          <w:color w:val="000000"/>
          <w:kern w:val="0"/>
          <w:sz w:val="24"/>
        </w:rPr>
        <w:t xml:space="preserve">                                                   </w:t>
      </w:r>
    </w:p>
    <w:p w14:paraId="13336BF4">
      <w:pPr>
        <w:widowControl/>
        <w:spacing w:line="375" w:lineRule="atLeast"/>
        <w:ind w:firstLine="662"/>
        <w:jc w:val="left"/>
        <w:rPr>
          <w:rFonts w:hint="eastAsia"/>
        </w:rPr>
      </w:pPr>
      <w:r>
        <w:rPr>
          <w:rFonts w:hint="eastAsia" w:ascii="宋体" w:hAnsi="宋体" w:cs="宋体"/>
          <w:color w:val="000000"/>
          <w:kern w:val="0"/>
          <w:sz w:val="24"/>
        </w:rPr>
        <w:t>年  月  日                                     2026年</w:t>
      </w:r>
      <w:r>
        <w:rPr>
          <w:rFonts w:hint="eastAsia" w:ascii="宋体" w:hAnsi="宋体" w:cs="宋体"/>
          <w:color w:val="000000"/>
          <w:kern w:val="0"/>
          <w:sz w:val="24"/>
          <w:lang w:val="en-US" w:eastAsia="zh-CN"/>
        </w:rPr>
        <w:t xml:space="preserve"> 7</w:t>
      </w:r>
      <w:r>
        <w:rPr>
          <w:rFonts w:hint="eastAsia" w:ascii="宋体" w:hAnsi="宋体" w:cs="宋体"/>
          <w:color w:val="000000"/>
          <w:kern w:val="0"/>
          <w:sz w:val="24"/>
        </w:rPr>
        <w:t xml:space="preserve">月 </w:t>
      </w:r>
      <w:r>
        <w:rPr>
          <w:rFonts w:hint="eastAsia" w:ascii="宋体" w:hAnsi="宋体" w:cs="宋体"/>
          <w:color w:val="000000"/>
          <w:kern w:val="0"/>
          <w:sz w:val="24"/>
          <w:lang w:val="en-US" w:eastAsia="zh-CN"/>
        </w:rPr>
        <w:t>27</w:t>
      </w:r>
      <w:r>
        <w:rPr>
          <w:rFonts w:hint="eastAsia" w:ascii="宋体" w:hAnsi="宋体" w:cs="宋体"/>
          <w:color w:val="000000"/>
          <w:kern w:val="0"/>
          <w:sz w:val="24"/>
        </w:rPr>
        <w:t xml:space="preserve"> 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00"/>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C03"/>
    <w:rsid w:val="00841643"/>
    <w:rsid w:val="00AB7C03"/>
    <w:rsid w:val="00B6027B"/>
    <w:rsid w:val="00B64050"/>
    <w:rsid w:val="00F11EFB"/>
    <w:rsid w:val="05BCE231"/>
    <w:rsid w:val="1D7F4B10"/>
    <w:rsid w:val="273597F4"/>
    <w:rsid w:val="34FE1408"/>
    <w:rsid w:val="3BBEDB76"/>
    <w:rsid w:val="3FD78EA2"/>
    <w:rsid w:val="3FFFC153"/>
    <w:rsid w:val="5DBF55FB"/>
    <w:rsid w:val="60B747CB"/>
    <w:rsid w:val="6DDFC513"/>
    <w:rsid w:val="6FBF123D"/>
    <w:rsid w:val="6FDB1E87"/>
    <w:rsid w:val="72FD7DA7"/>
    <w:rsid w:val="73DC7207"/>
    <w:rsid w:val="76AF857F"/>
    <w:rsid w:val="7739EBCF"/>
    <w:rsid w:val="77A7BC25"/>
    <w:rsid w:val="77ED8FDB"/>
    <w:rsid w:val="77F7C408"/>
    <w:rsid w:val="79DD602E"/>
    <w:rsid w:val="7AEE1F14"/>
    <w:rsid w:val="7AFFE4FF"/>
    <w:rsid w:val="7BF3B793"/>
    <w:rsid w:val="7D76F257"/>
    <w:rsid w:val="7EE71F5E"/>
    <w:rsid w:val="7EEE89FD"/>
    <w:rsid w:val="7FBFE1E3"/>
    <w:rsid w:val="91E454B6"/>
    <w:rsid w:val="9FEF1E75"/>
    <w:rsid w:val="9FFED6C3"/>
    <w:rsid w:val="ABDD31AE"/>
    <w:rsid w:val="AFBBFA15"/>
    <w:rsid w:val="AFFF5A5D"/>
    <w:rsid w:val="BFBBE488"/>
    <w:rsid w:val="C7A7F4AA"/>
    <w:rsid w:val="DB9D1FB9"/>
    <w:rsid w:val="DD5FB6B0"/>
    <w:rsid w:val="E7FC5A4D"/>
    <w:rsid w:val="EA7F6D7F"/>
    <w:rsid w:val="EE9E2F16"/>
    <w:rsid w:val="F365EA70"/>
    <w:rsid w:val="F757B0E5"/>
    <w:rsid w:val="FAFED9D7"/>
    <w:rsid w:val="FB37A67B"/>
    <w:rsid w:val="FEFFD999"/>
    <w:rsid w:val="FF27D166"/>
    <w:rsid w:val="FF2F3BAF"/>
    <w:rsid w:val="FFDD3BA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link w:val="6"/>
    <w:uiPriority w:val="0"/>
    <w:pPr>
      <w:tabs>
        <w:tab w:val="center" w:pos="4153"/>
        <w:tab w:val="right" w:pos="8306"/>
      </w:tabs>
      <w:snapToGrid w:val="0"/>
      <w:jc w:val="left"/>
    </w:pPr>
    <w:rPr>
      <w:sz w:val="18"/>
      <w:szCs w:val="18"/>
    </w:rPr>
  </w:style>
  <w:style w:type="paragraph" w:styleId="3">
    <w:name w:val="header"/>
    <w:basedOn w:val="1"/>
    <w:link w:val="7"/>
    <w:uiPriority w:val="0"/>
    <w:pPr>
      <w:tabs>
        <w:tab w:val="center" w:pos="4153"/>
        <w:tab w:val="right" w:pos="8306"/>
      </w:tabs>
      <w:snapToGrid w:val="0"/>
      <w:jc w:val="center"/>
    </w:pPr>
    <w:rPr>
      <w:sz w:val="18"/>
      <w:szCs w:val="18"/>
    </w:rPr>
  </w:style>
  <w:style w:type="character" w:customStyle="1" w:styleId="6">
    <w:name w:val="页脚 字符"/>
    <w:link w:val="2"/>
    <w:uiPriority w:val="0"/>
    <w:rPr>
      <w:kern w:val="2"/>
      <w:sz w:val="18"/>
      <w:szCs w:val="18"/>
    </w:rPr>
  </w:style>
  <w:style w:type="character" w:customStyle="1" w:styleId="7">
    <w:name w:val="页眉 字符"/>
    <w:link w:val="3"/>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2</Pages>
  <Words>712</Words>
  <Characters>771</Characters>
  <Lines>77</Lines>
  <Paragraphs>64</Paragraphs>
  <TotalTime>11.6666666666667</TotalTime>
  <ScaleCrop>false</ScaleCrop>
  <LinksUpToDate>false</LinksUpToDate>
  <CharactersWithSpaces>1419</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2014-11-26T01:29:00Z</dcterms:created>
  <dc:creator>周秀玲</dc:creator>
  <cp:lastModifiedBy>陈野菲</cp:lastModifiedBy>
  <dcterms:modified xsi:type="dcterms:W3CDTF">2026-09-21T15:21:44Z</dcterms:modified>
  <dc:title>附件1</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3674C5095993F1BB08DBB06A6AE4E013_43</vt:lpwstr>
  </property>
</Properties>
</file>