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870FD">
      <w:pPr>
        <w:widowControl/>
        <w:spacing w:line="375" w:lineRule="atLeast"/>
        <w:jc w:val="center"/>
        <w:rPr>
          <w:rFonts w:ascii="宋体" w:hAnsi="宋体" w:cs="宋体"/>
          <w:color w:val="000000"/>
          <w:kern w:val="0"/>
          <w:sz w:val="36"/>
          <w:szCs w:val="36"/>
        </w:rPr>
      </w:pPr>
      <w:bookmarkStart w:id="0" w:name="_GoBack"/>
      <w:bookmarkEnd w:id="0"/>
      <w:r>
        <w:rPr>
          <w:rFonts w:hint="eastAsia" w:ascii="宋体" w:hAnsi="宋体" w:cs="宋体"/>
          <w:color w:val="000000"/>
          <w:kern w:val="0"/>
          <w:sz w:val="36"/>
          <w:szCs w:val="36"/>
        </w:rPr>
        <w:t>慧瑞环保涂料（上海）有限公司</w:t>
      </w:r>
    </w:p>
    <w:p w14:paraId="644636E7">
      <w:pPr>
        <w:widowControl/>
        <w:spacing w:line="375" w:lineRule="atLeast"/>
        <w:jc w:val="center"/>
        <w:rPr>
          <w:rFonts w:ascii="宋体" w:hAnsi="宋体" w:cs="宋体"/>
          <w:color w:val="000000"/>
          <w:kern w:val="0"/>
          <w:sz w:val="27"/>
          <w:szCs w:val="27"/>
        </w:rPr>
      </w:pPr>
      <w:r>
        <w:rPr>
          <w:rFonts w:ascii="宋体" w:hAnsi="宋体" w:cs="宋体"/>
          <w:color w:val="000000"/>
          <w:kern w:val="0"/>
          <w:sz w:val="36"/>
          <w:szCs w:val="36"/>
        </w:rPr>
        <w:t>职业病危害告知书</w:t>
      </w:r>
    </w:p>
    <w:p w14:paraId="361AE641">
      <w:pPr>
        <w:widowControl/>
        <w:spacing w:line="375" w:lineRule="atLeast"/>
        <w:jc w:val="center"/>
        <w:rPr>
          <w:rFonts w:ascii="宋体" w:hAnsi="宋体" w:cs="宋体"/>
          <w:color w:val="000000"/>
          <w:kern w:val="0"/>
          <w:sz w:val="27"/>
          <w:szCs w:val="27"/>
        </w:rPr>
      </w:pPr>
      <w:r>
        <w:rPr>
          <w:rFonts w:ascii="宋体" w:hAnsi="宋体" w:cs="宋体"/>
          <w:color w:val="000000"/>
          <w:kern w:val="0"/>
          <w:sz w:val="27"/>
          <w:szCs w:val="27"/>
        </w:rPr>
        <w:t> </w:t>
      </w:r>
    </w:p>
    <w:p w14:paraId="0115B8BA">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根据《职业病防治法》第三十</w:t>
      </w:r>
      <w:r>
        <w:rPr>
          <w:rFonts w:hint="eastAsia" w:ascii="宋体" w:hAnsi="宋体" w:cs="宋体"/>
          <w:color w:val="000000"/>
          <w:kern w:val="0"/>
          <w:sz w:val="24"/>
          <w:lang w:val="en-US" w:eastAsia="zh-CN"/>
        </w:rPr>
        <w:t>三</w:t>
      </w:r>
      <w:r>
        <w:rPr>
          <w:rFonts w:ascii="宋体" w:hAnsi="宋体" w:cs="宋体"/>
          <w:color w:val="000000"/>
          <w:kern w:val="0"/>
          <w:sz w:val="24"/>
        </w:rPr>
        <w:t>条的规定，用人单位（甲方）在与劳动者（乙方）订立劳动合同时应告知工作过程中可能产生的职业病危害及其后果、职业病防护措施和待遇等内容：</w:t>
      </w:r>
    </w:p>
    <w:p w14:paraId="71965CE4">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（一）所在工作岗位、可能产生的职业病危害、后果及职业病防护措施：</w:t>
      </w:r>
    </w:p>
    <w:tbl>
      <w:tblPr>
        <w:tblStyle w:val="3"/>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0" w:type="dxa"/>
          <w:bottom w:w="0" w:type="dxa"/>
          <w:right w:w="0" w:type="dxa"/>
        </w:tblCellMar>
      </w:tblPr>
      <w:tblGrid>
        <w:gridCol w:w="1685"/>
        <w:gridCol w:w="1411"/>
        <w:gridCol w:w="2385"/>
        <w:gridCol w:w="1639"/>
        <w:gridCol w:w="1402"/>
      </w:tblGrid>
      <w:tr w14:paraId="38C7784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769" w:hRule="atLeast"/>
          <w:jc w:val="center"/>
        </w:trPr>
        <w:tc>
          <w:tcPr>
            <w:tcW w:w="1685" w:type="dxa"/>
            <w:noWrap w:val="0"/>
            <w:tcMar>
              <w:top w:w="0" w:type="dxa"/>
              <w:left w:w="108" w:type="dxa"/>
              <w:bottom w:w="0" w:type="dxa"/>
              <w:right w:w="108" w:type="dxa"/>
            </w:tcMar>
            <w:vAlign w:val="center"/>
          </w:tcPr>
          <w:p w14:paraId="4226C949">
            <w:pPr>
              <w:widowControl/>
              <w:spacing w:line="375" w:lineRule="atLeast"/>
              <w:jc w:val="center"/>
              <w:rPr>
                <w:rFonts w:ascii="宋体" w:hAnsi="宋体" w:cs="宋体"/>
                <w:kern w:val="0"/>
                <w:sz w:val="24"/>
              </w:rPr>
            </w:pPr>
            <w:r>
              <w:rPr>
                <w:rFonts w:ascii="宋体" w:hAnsi="宋体" w:cs="宋体"/>
                <w:color w:val="000000"/>
                <w:kern w:val="0"/>
                <w:sz w:val="24"/>
              </w:rPr>
              <w:t>所在部门及</w:t>
            </w:r>
          </w:p>
          <w:p w14:paraId="02E9A99D">
            <w:pPr>
              <w:widowControl/>
              <w:spacing w:line="375" w:lineRule="atLeast"/>
              <w:jc w:val="center"/>
              <w:rPr>
                <w:rFonts w:ascii="宋体" w:hAnsi="宋体" w:cs="宋体"/>
                <w:kern w:val="0"/>
                <w:sz w:val="24"/>
              </w:rPr>
            </w:pPr>
            <w:r>
              <w:rPr>
                <w:rFonts w:ascii="宋体" w:hAnsi="宋体" w:cs="宋体"/>
                <w:color w:val="000000"/>
                <w:kern w:val="0"/>
                <w:sz w:val="24"/>
              </w:rPr>
              <w:t>岗位名称</w:t>
            </w:r>
          </w:p>
        </w:tc>
        <w:tc>
          <w:tcPr>
            <w:tcW w:w="1411" w:type="dxa"/>
            <w:noWrap w:val="0"/>
            <w:tcMar>
              <w:top w:w="0" w:type="dxa"/>
              <w:left w:w="108" w:type="dxa"/>
              <w:bottom w:w="0" w:type="dxa"/>
              <w:right w:w="108" w:type="dxa"/>
            </w:tcMar>
            <w:vAlign w:val="center"/>
          </w:tcPr>
          <w:p w14:paraId="54EE51EB">
            <w:pPr>
              <w:widowControl/>
              <w:spacing w:line="375" w:lineRule="atLeast"/>
              <w:jc w:val="center"/>
              <w:rPr>
                <w:rFonts w:ascii="宋体" w:hAnsi="宋体" w:cs="宋体"/>
                <w:kern w:val="0"/>
                <w:sz w:val="24"/>
              </w:rPr>
            </w:pPr>
            <w:r>
              <w:rPr>
                <w:rFonts w:ascii="宋体" w:hAnsi="宋体" w:cs="宋体"/>
                <w:color w:val="000000"/>
                <w:kern w:val="0"/>
                <w:sz w:val="24"/>
              </w:rPr>
              <w:t>职业病危害因素</w:t>
            </w:r>
          </w:p>
        </w:tc>
        <w:tc>
          <w:tcPr>
            <w:tcW w:w="2385" w:type="dxa"/>
            <w:noWrap w:val="0"/>
            <w:tcMar>
              <w:top w:w="0" w:type="dxa"/>
              <w:left w:w="108" w:type="dxa"/>
              <w:bottom w:w="0" w:type="dxa"/>
              <w:right w:w="108" w:type="dxa"/>
            </w:tcMar>
            <w:vAlign w:val="center"/>
          </w:tcPr>
          <w:p w14:paraId="2A5C2D90">
            <w:pPr>
              <w:widowControl/>
              <w:spacing w:line="375" w:lineRule="atLeast"/>
              <w:jc w:val="center"/>
              <w:rPr>
                <w:rFonts w:ascii="宋体" w:hAnsi="宋体" w:cs="宋体"/>
                <w:kern w:val="0"/>
                <w:sz w:val="24"/>
              </w:rPr>
            </w:pPr>
            <w:r>
              <w:rPr>
                <w:rFonts w:ascii="宋体" w:hAnsi="宋体" w:cs="宋体"/>
                <w:color w:val="000000"/>
                <w:kern w:val="0"/>
                <w:sz w:val="24"/>
              </w:rPr>
              <w:t>职业禁忌证</w:t>
            </w:r>
          </w:p>
        </w:tc>
        <w:tc>
          <w:tcPr>
            <w:tcW w:w="1639" w:type="dxa"/>
            <w:noWrap w:val="0"/>
            <w:tcMar>
              <w:top w:w="0" w:type="dxa"/>
              <w:left w:w="108" w:type="dxa"/>
              <w:bottom w:w="0" w:type="dxa"/>
              <w:right w:w="108" w:type="dxa"/>
            </w:tcMar>
            <w:vAlign w:val="center"/>
          </w:tcPr>
          <w:p w14:paraId="3CA8A645">
            <w:pPr>
              <w:widowControl/>
              <w:spacing w:line="375" w:lineRule="atLeast"/>
              <w:jc w:val="center"/>
              <w:rPr>
                <w:rFonts w:ascii="宋体" w:hAnsi="宋体" w:cs="宋体"/>
                <w:kern w:val="0"/>
                <w:sz w:val="24"/>
              </w:rPr>
            </w:pPr>
            <w:r>
              <w:rPr>
                <w:rFonts w:ascii="宋体" w:hAnsi="宋体" w:cs="宋体"/>
                <w:color w:val="000000"/>
                <w:kern w:val="0"/>
                <w:sz w:val="24"/>
              </w:rPr>
              <w:t>可能导致的职业病危害</w:t>
            </w:r>
          </w:p>
        </w:tc>
        <w:tc>
          <w:tcPr>
            <w:tcW w:w="1402" w:type="dxa"/>
            <w:noWrap w:val="0"/>
            <w:tcMar>
              <w:top w:w="0" w:type="dxa"/>
              <w:left w:w="108" w:type="dxa"/>
              <w:bottom w:w="0" w:type="dxa"/>
              <w:right w:w="108" w:type="dxa"/>
            </w:tcMar>
            <w:vAlign w:val="center"/>
          </w:tcPr>
          <w:p w14:paraId="54F408F8">
            <w:pPr>
              <w:widowControl/>
              <w:spacing w:line="375" w:lineRule="atLeast"/>
              <w:jc w:val="center"/>
              <w:rPr>
                <w:rFonts w:ascii="宋体" w:hAnsi="宋体" w:cs="宋体"/>
                <w:kern w:val="0"/>
                <w:sz w:val="24"/>
              </w:rPr>
            </w:pPr>
            <w:r>
              <w:rPr>
                <w:rFonts w:ascii="宋体" w:hAnsi="宋体" w:cs="宋体"/>
                <w:color w:val="000000"/>
                <w:kern w:val="0"/>
                <w:sz w:val="24"/>
              </w:rPr>
              <w:t>职业病防护措施</w:t>
            </w:r>
          </w:p>
        </w:tc>
      </w:tr>
      <w:tr w14:paraId="3918E60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2142" w:hRule="atLeast"/>
          <w:jc w:val="center"/>
        </w:trPr>
        <w:tc>
          <w:tcPr>
            <w:tcW w:w="1685" w:type="dxa"/>
            <w:noWrap w:val="0"/>
            <w:tcMar>
              <w:top w:w="0" w:type="dxa"/>
              <w:left w:w="108" w:type="dxa"/>
              <w:bottom w:w="0" w:type="dxa"/>
              <w:right w:w="108" w:type="dxa"/>
            </w:tcMar>
            <w:vAlign w:val="center"/>
          </w:tcPr>
          <w:p w14:paraId="2BA4A2AF">
            <w:pPr>
              <w:widowControl/>
              <w:spacing w:line="375" w:lineRule="atLeast"/>
              <w:ind w:firstLine="480" w:firstLineChars="200"/>
              <w:jc w:val="left"/>
              <w:rPr>
                <w:rFonts w:hint="eastAsia" w:ascii="宋体" w:hAnsi="宋体" w:eastAsia="宋体" w:cs="宋体"/>
                <w:kern w:val="0"/>
                <w:sz w:val="24"/>
                <w:lang w:val="en-US" w:eastAsia="zh-CN"/>
              </w:rPr>
            </w:pPr>
            <w:r>
              <w:rPr>
                <w:rFonts w:hint="eastAsia" w:ascii="宋体" w:hAnsi="宋体" w:eastAsia="宋体" w:cs="宋体"/>
                <w:kern w:val="0"/>
                <w:sz w:val="24"/>
                <w:lang w:val="en-US" w:eastAsia="zh-CN"/>
              </w:rPr>
              <w:t>技术部</w:t>
            </w:r>
          </w:p>
          <w:p w14:paraId="67864849">
            <w:pPr>
              <w:widowControl/>
              <w:spacing w:line="375" w:lineRule="atLeast"/>
              <w:ind w:firstLine="240" w:firstLineChars="100"/>
              <w:jc w:val="left"/>
              <w:rPr>
                <w:rFonts w:hint="eastAsia" w:ascii="宋体" w:hAnsi="宋体" w:eastAsia="宋体" w:cs="宋体"/>
                <w:kern w:val="0"/>
                <w:sz w:val="24"/>
                <w:lang w:val="en-US" w:eastAsia="zh-CN"/>
              </w:rPr>
            </w:pPr>
            <w:r>
              <w:rPr>
                <w:rFonts w:hint="eastAsia" w:ascii="宋体" w:hAnsi="宋体" w:eastAsia="宋体" w:cs="宋体"/>
                <w:kern w:val="0"/>
                <w:sz w:val="24"/>
                <w:lang w:val="en-US" w:eastAsia="zh-CN"/>
              </w:rPr>
              <w:t>驻外技术员</w:t>
            </w:r>
          </w:p>
          <w:p w14:paraId="14FDD3BB">
            <w:pPr>
              <w:widowControl/>
              <w:spacing w:line="375" w:lineRule="atLeast"/>
              <w:jc w:val="left"/>
              <w:rPr>
                <w:rFonts w:hint="eastAsia" w:ascii="宋体" w:hAnsi="宋体" w:eastAsia="宋体" w:cs="宋体"/>
                <w:kern w:val="0"/>
                <w:sz w:val="24"/>
                <w:lang w:val="en-US" w:eastAsia="zh-CN"/>
              </w:rPr>
            </w:pPr>
            <w:r>
              <w:rPr>
                <w:rFonts w:hint="eastAsia" w:ascii="宋体" w:hAnsi="宋体" w:eastAsia="宋体" w:cs="宋体"/>
                <w:kern w:val="0"/>
                <w:sz w:val="24"/>
                <w:lang w:val="en-US" w:eastAsia="zh-CN"/>
              </w:rPr>
              <w:t>（大连宜家）</w:t>
            </w:r>
          </w:p>
          <w:p w14:paraId="7845B592">
            <w:pPr>
              <w:widowControl/>
              <w:spacing w:line="375" w:lineRule="atLeast"/>
              <w:ind w:firstLine="240" w:firstLineChars="100"/>
              <w:jc w:val="left"/>
              <w:rPr>
                <w:rFonts w:hint="eastAsia" w:ascii="宋体" w:hAnsi="宋体" w:eastAsia="宋体" w:cs="宋体"/>
                <w:kern w:val="0"/>
                <w:sz w:val="24"/>
                <w:lang w:val="en-US" w:eastAsia="zh-CN"/>
              </w:rPr>
            </w:pPr>
            <w:r>
              <w:rPr>
                <w:rFonts w:hint="eastAsia" w:ascii="宋体" w:hAnsi="宋体" w:eastAsia="宋体" w:cs="宋体"/>
                <w:kern w:val="0"/>
                <w:sz w:val="24"/>
                <w:lang w:val="en-US" w:eastAsia="zh-CN"/>
              </w:rPr>
              <w:t>（上岗前）</w:t>
            </w:r>
          </w:p>
          <w:p w14:paraId="6054D1A1">
            <w:pPr>
              <w:widowControl/>
              <w:spacing w:line="375" w:lineRule="atLeast"/>
              <w:jc w:val="left"/>
              <w:rPr>
                <w:rFonts w:hint="default" w:ascii="宋体" w:hAnsi="宋体" w:eastAsia="宋体" w:cs="宋体"/>
                <w:kern w:val="0"/>
                <w:sz w:val="24"/>
                <w:lang w:val="en-US" w:eastAsia="zh-CN"/>
              </w:rPr>
            </w:pPr>
          </w:p>
        </w:tc>
        <w:tc>
          <w:tcPr>
            <w:tcW w:w="1411" w:type="dxa"/>
            <w:noWrap w:val="0"/>
            <w:tcMar>
              <w:top w:w="0" w:type="dxa"/>
              <w:left w:w="108" w:type="dxa"/>
              <w:bottom w:w="0" w:type="dxa"/>
              <w:right w:w="108" w:type="dxa"/>
            </w:tcMar>
            <w:vAlign w:val="center"/>
          </w:tcPr>
          <w:p w14:paraId="14884381">
            <w:pPr>
              <w:spacing w:line="219" w:lineRule="exact"/>
              <w:jc w:val="both"/>
              <w:rPr>
                <w:rFonts w:hint="eastAsia" w:ascii="宋体" w:hAnsi="宋体" w:eastAsia="宋体" w:cs="宋体"/>
                <w:w w:val="99"/>
                <w:sz w:val="20"/>
                <w:szCs w:val="20"/>
              </w:rPr>
            </w:pPr>
          </w:p>
          <w:p w14:paraId="0F8084C7">
            <w:pPr>
              <w:keepNext w:val="0"/>
              <w:keepLines w:val="0"/>
              <w:widowControl/>
              <w:suppressLineNumbers w:val="0"/>
              <w:spacing w:line="240" w:lineRule="auto"/>
              <w:jc w:val="left"/>
              <w:rPr>
                <w:rFonts w:hint="eastAsia" w:ascii="宋体" w:hAnsi="宋体" w:eastAsia="宋体" w:cs="宋体"/>
                <w:sz w:val="22"/>
                <w:szCs w:val="22"/>
              </w:rPr>
            </w:pPr>
            <w:r>
              <w:rPr>
                <w:rFonts w:hint="eastAsia" w:ascii="宋体" w:hAnsi="宋体" w:eastAsia="宋体" w:cs="宋体"/>
                <w:sz w:val="22"/>
                <w:szCs w:val="22"/>
              </w:rPr>
              <w:t>木粉尘、噪声、紫外线、高温</w:t>
            </w:r>
          </w:p>
          <w:p w14:paraId="72F62F6E">
            <w:pPr>
              <w:spacing w:line="219" w:lineRule="exact"/>
              <w:jc w:val="both"/>
              <w:rPr>
                <w:rFonts w:hint="eastAsia" w:ascii="宋体" w:hAnsi="宋体" w:eastAsia="宋体" w:cs="宋体"/>
                <w:w w:val="99"/>
                <w:sz w:val="20"/>
                <w:szCs w:val="20"/>
              </w:rPr>
            </w:pPr>
          </w:p>
        </w:tc>
        <w:tc>
          <w:tcPr>
            <w:tcW w:w="2385" w:type="dxa"/>
            <w:noWrap w:val="0"/>
            <w:tcMar>
              <w:top w:w="0" w:type="dxa"/>
              <w:left w:w="108" w:type="dxa"/>
              <w:bottom w:w="0" w:type="dxa"/>
              <w:right w:w="108" w:type="dxa"/>
            </w:tcMar>
            <w:vAlign w:val="center"/>
          </w:tcPr>
          <w:p w14:paraId="2BE39636">
            <w:pPr>
              <w:keepNext w:val="0"/>
              <w:keepLines w:val="0"/>
              <w:widowControl/>
              <w:suppressLineNumbers w:val="0"/>
              <w:spacing w:line="240" w:lineRule="auto"/>
              <w:jc w:val="left"/>
              <w:rPr>
                <w:rFonts w:hint="eastAsia" w:ascii="宋体" w:hAnsi="宋体" w:eastAsia="宋体" w:cs="宋体"/>
                <w:b/>
                <w:bCs/>
                <w:w w:val="99"/>
                <w:sz w:val="20"/>
                <w:szCs w:val="20"/>
                <w:lang w:eastAsia="zh-CN"/>
              </w:rPr>
            </w:pPr>
            <w:r>
              <w:rPr>
                <w:rFonts w:hint="eastAsia" w:ascii="宋体" w:hAnsi="宋体" w:eastAsia="宋体" w:cs="宋体"/>
                <w:b/>
                <w:bCs/>
                <w:w w:val="99"/>
                <w:sz w:val="20"/>
                <w:szCs w:val="20"/>
              </w:rPr>
              <w:t>木粉尘</w:t>
            </w:r>
            <w:r>
              <w:rPr>
                <w:rFonts w:hint="eastAsia" w:ascii="宋体" w:hAnsi="宋体" w:eastAsia="宋体" w:cs="宋体"/>
                <w:b/>
                <w:bCs/>
                <w:w w:val="99"/>
                <w:sz w:val="20"/>
                <w:szCs w:val="20"/>
                <w:lang w:eastAsia="zh-CN"/>
              </w:rPr>
              <w:t>（</w:t>
            </w:r>
            <w:r>
              <w:rPr>
                <w:rFonts w:hint="eastAsia" w:ascii="宋体" w:hAnsi="宋体" w:eastAsia="宋体" w:cs="宋体"/>
                <w:b/>
                <w:bCs/>
                <w:w w:val="99"/>
                <w:sz w:val="20"/>
                <w:szCs w:val="20"/>
                <w:lang w:val="en-US" w:eastAsia="zh-CN"/>
              </w:rPr>
              <w:t>有机粉尘</w:t>
            </w:r>
            <w:r>
              <w:rPr>
                <w:rFonts w:hint="eastAsia" w:ascii="宋体" w:hAnsi="宋体" w:eastAsia="宋体" w:cs="宋体"/>
                <w:b/>
                <w:bCs/>
                <w:w w:val="99"/>
                <w:sz w:val="20"/>
                <w:szCs w:val="20"/>
                <w:lang w:eastAsia="zh-CN"/>
              </w:rPr>
              <w:t>）：</w:t>
            </w:r>
          </w:p>
          <w:p w14:paraId="13280CC5">
            <w:pPr>
              <w:keepNext w:val="0"/>
              <w:keepLines w:val="0"/>
              <w:widowControl/>
              <w:suppressLineNumbers w:val="0"/>
              <w:spacing w:line="240" w:lineRule="auto"/>
              <w:jc w:val="left"/>
              <w:rPr>
                <w:rFonts w:hint="eastAsia" w:ascii="宋体" w:hAnsi="宋体" w:eastAsia="宋体" w:cs="宋体"/>
                <w:sz w:val="22"/>
                <w:szCs w:val="22"/>
              </w:rPr>
            </w:pPr>
            <w:r>
              <w:rPr>
                <w:rFonts w:hint="eastAsia" w:ascii="宋体" w:hAnsi="宋体" w:eastAsia="宋体" w:cs="宋体"/>
                <w:sz w:val="22"/>
                <w:szCs w:val="22"/>
              </w:rPr>
              <w:t>a) 致喘物过敏和支气管哮喘；</w:t>
            </w:r>
          </w:p>
          <w:p w14:paraId="5BE7DD35">
            <w:pPr>
              <w:keepNext w:val="0"/>
              <w:keepLines w:val="0"/>
              <w:widowControl/>
              <w:suppressLineNumbers w:val="0"/>
              <w:spacing w:line="240" w:lineRule="auto"/>
              <w:jc w:val="left"/>
              <w:rPr>
                <w:rFonts w:hint="eastAsia" w:ascii="宋体" w:hAnsi="宋体" w:eastAsia="宋体" w:cs="宋体"/>
                <w:sz w:val="22"/>
                <w:szCs w:val="22"/>
              </w:rPr>
            </w:pPr>
            <w:r>
              <w:rPr>
                <w:rFonts w:hint="eastAsia" w:ascii="宋体" w:hAnsi="宋体" w:eastAsia="宋体" w:cs="宋体"/>
                <w:sz w:val="22"/>
                <w:szCs w:val="22"/>
              </w:rPr>
              <w:t>b) 慢性阻塞性肺疾病；</w:t>
            </w:r>
          </w:p>
          <w:p w14:paraId="42DACAC0">
            <w:pPr>
              <w:keepNext w:val="0"/>
              <w:keepLines w:val="0"/>
              <w:widowControl/>
              <w:suppressLineNumbers w:val="0"/>
              <w:spacing w:line="240" w:lineRule="auto"/>
              <w:jc w:val="left"/>
              <w:rPr>
                <w:rFonts w:hint="eastAsia" w:ascii="宋体" w:hAnsi="宋体" w:eastAsia="宋体" w:cs="宋体"/>
                <w:sz w:val="22"/>
                <w:szCs w:val="22"/>
              </w:rPr>
            </w:pPr>
            <w:r>
              <w:rPr>
                <w:rFonts w:hint="eastAsia" w:ascii="宋体" w:hAnsi="宋体" w:eastAsia="宋体" w:cs="宋体"/>
                <w:sz w:val="22"/>
                <w:szCs w:val="22"/>
              </w:rPr>
              <w:t>c) 慢性间质性肺疾病；</w:t>
            </w:r>
          </w:p>
          <w:p w14:paraId="3A812AEC">
            <w:pPr>
              <w:keepNext w:val="0"/>
              <w:keepLines w:val="0"/>
              <w:widowControl/>
              <w:suppressLineNumbers w:val="0"/>
              <w:spacing w:line="240" w:lineRule="auto"/>
              <w:jc w:val="left"/>
              <w:rPr>
                <w:rFonts w:hint="eastAsia" w:ascii="宋体" w:hAnsi="宋体" w:eastAsia="宋体" w:cs="宋体"/>
                <w:sz w:val="22"/>
                <w:szCs w:val="22"/>
              </w:rPr>
            </w:pPr>
            <w:r>
              <w:rPr>
                <w:rFonts w:hint="eastAsia" w:ascii="宋体" w:hAnsi="宋体" w:eastAsia="宋体" w:cs="宋体"/>
                <w:sz w:val="22"/>
                <w:szCs w:val="22"/>
              </w:rPr>
              <w:t>d) 伴肺功能损害的疾病；</w:t>
            </w:r>
          </w:p>
          <w:p w14:paraId="547F44EA">
            <w:pPr>
              <w:keepNext w:val="0"/>
              <w:keepLines w:val="0"/>
              <w:widowControl/>
              <w:suppressLineNumbers w:val="0"/>
              <w:spacing w:line="240" w:lineRule="auto"/>
              <w:jc w:val="left"/>
              <w:rPr>
                <w:rFonts w:hint="eastAsia" w:ascii="宋体" w:hAnsi="宋体" w:eastAsia="宋体" w:cs="宋体"/>
                <w:sz w:val="22"/>
                <w:szCs w:val="22"/>
              </w:rPr>
            </w:pPr>
            <w:r>
              <w:rPr>
                <w:rFonts w:hint="eastAsia" w:ascii="宋体" w:hAnsi="宋体" w:eastAsia="宋体" w:cs="宋体"/>
                <w:sz w:val="22"/>
                <w:szCs w:val="22"/>
              </w:rPr>
              <w:t>e) 伴气道高反应的过敏性鼻炎。</w:t>
            </w:r>
          </w:p>
          <w:p w14:paraId="044E17C8">
            <w:pPr>
              <w:keepNext w:val="0"/>
              <w:keepLines w:val="0"/>
              <w:widowControl/>
              <w:suppressLineNumbers w:val="0"/>
              <w:spacing w:line="240" w:lineRule="auto"/>
              <w:jc w:val="left"/>
              <w:rPr>
                <w:rFonts w:ascii="宋体" w:hAnsi="宋体" w:eastAsia="宋体" w:cs="宋体"/>
                <w:color w:val="000000"/>
                <w:kern w:val="0"/>
                <w:sz w:val="21"/>
                <w:szCs w:val="21"/>
                <w:lang w:val="en-US" w:eastAsia="zh-CN" w:bidi="ar"/>
              </w:rPr>
            </w:pPr>
            <w:r>
              <w:rPr>
                <w:rFonts w:ascii="宋体" w:hAnsi="宋体" w:eastAsia="宋体" w:cs="宋体"/>
                <w:sz w:val="22"/>
                <w:szCs w:val="22"/>
              </w:rPr>
              <w:t xml:space="preserve"> </w:t>
            </w:r>
          </w:p>
          <w:p w14:paraId="6118B8E6">
            <w:pPr>
              <w:keepNext w:val="0"/>
              <w:keepLines w:val="0"/>
              <w:widowControl/>
              <w:suppressLineNumbers w:val="0"/>
              <w:spacing w:line="240" w:lineRule="auto"/>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噪声：</w:t>
            </w:r>
          </w:p>
          <w:p w14:paraId="28455EFB">
            <w:pPr>
              <w:keepNext w:val="0"/>
              <w:keepLines w:val="0"/>
              <w:widowControl/>
              <w:suppressLineNumbers w:val="0"/>
              <w:spacing w:line="240" w:lineRule="auto"/>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a) 500 Hz、1000 Hz和2000 Hz中任一频率纯音气导听阈＞25 dBHL的永久性感音神经性听力损失；</w:t>
            </w:r>
          </w:p>
          <w:p w14:paraId="64244CB1">
            <w:pPr>
              <w:keepNext w:val="0"/>
              <w:keepLines w:val="0"/>
              <w:widowControl/>
              <w:suppressLineNumbers w:val="0"/>
              <w:spacing w:line="240" w:lineRule="auto"/>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b) 高频段3000 Hz、4000 Hz、6000 Hz双耳平均听阈≥40 dBHL，且较好耳语频（500 Hz、1000 Hz</w:t>
            </w:r>
          </w:p>
          <w:p w14:paraId="65CD47B0">
            <w:pPr>
              <w:keepNext w:val="0"/>
              <w:keepLines w:val="0"/>
              <w:widowControl/>
              <w:suppressLineNumbers w:val="0"/>
              <w:spacing w:line="240" w:lineRule="auto"/>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和2000 Hz）和高频（4000 Hz）听阈加权值≥26 dBHL（按GBZ 49）；</w:t>
            </w:r>
          </w:p>
          <w:p w14:paraId="0961958E">
            <w:pPr>
              <w:keepNext w:val="0"/>
              <w:keepLines w:val="0"/>
              <w:widowControl/>
              <w:suppressLineNumbers w:val="0"/>
              <w:spacing w:line="240" w:lineRule="auto"/>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c) 任一耳传导性听力损失，语频平均听阈≥41 dBHL。</w:t>
            </w:r>
          </w:p>
          <w:p w14:paraId="575F3C85">
            <w:pPr>
              <w:keepNext w:val="0"/>
              <w:keepLines w:val="0"/>
              <w:widowControl/>
              <w:suppressLineNumbers w:val="0"/>
              <w:spacing w:line="240" w:lineRule="auto"/>
              <w:jc w:val="left"/>
              <w:rPr>
                <w:rFonts w:hint="eastAsia" w:ascii="宋体" w:hAnsi="宋体" w:eastAsia="宋体" w:cs="宋体"/>
                <w:b/>
                <w:bCs/>
                <w:color w:val="000000"/>
                <w:kern w:val="0"/>
                <w:sz w:val="21"/>
                <w:szCs w:val="21"/>
                <w:lang w:val="en-US" w:eastAsia="zh-CN" w:bidi="ar"/>
              </w:rPr>
            </w:pPr>
          </w:p>
          <w:p w14:paraId="63A59EA8">
            <w:pPr>
              <w:keepNext w:val="0"/>
              <w:keepLines w:val="0"/>
              <w:widowControl/>
              <w:suppressLineNumbers w:val="0"/>
              <w:spacing w:line="240" w:lineRule="auto"/>
              <w:jc w:val="left"/>
              <w:rPr>
                <w:rFonts w:hint="eastAsia" w:ascii="宋体" w:hAnsi="宋体" w:eastAsia="宋体" w:cs="宋体"/>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紫外辐射</w:t>
            </w:r>
            <w:r>
              <w:rPr>
                <w:rFonts w:hint="eastAsia" w:ascii="宋体" w:hAnsi="宋体" w:eastAsia="宋体" w:cs="宋体"/>
                <w:color w:val="000000"/>
                <w:kern w:val="0"/>
                <w:sz w:val="21"/>
                <w:szCs w:val="21"/>
                <w:lang w:val="en-US" w:eastAsia="zh-CN" w:bidi="ar"/>
              </w:rPr>
              <w:t>：</w:t>
            </w:r>
          </w:p>
          <w:p w14:paraId="7A3CFED2">
            <w:pPr>
              <w:keepNext w:val="0"/>
              <w:keepLines w:val="0"/>
              <w:widowControl/>
              <w:suppressLineNumbers w:val="0"/>
              <w:spacing w:line="240" w:lineRule="auto"/>
              <w:jc w:val="left"/>
              <w:rPr>
                <w:rFonts w:hint="eastAsia" w:ascii="宋体" w:hAnsi="宋体" w:eastAsia="宋体" w:cs="宋体"/>
                <w:sz w:val="22"/>
                <w:szCs w:val="22"/>
              </w:rPr>
            </w:pPr>
            <w:r>
              <w:rPr>
                <w:rFonts w:hint="eastAsia" w:ascii="宋体" w:hAnsi="宋体" w:eastAsia="宋体" w:cs="宋体"/>
                <w:sz w:val="22"/>
                <w:szCs w:val="22"/>
              </w:rPr>
              <w:t>a) 活动性角膜疾病；</w:t>
            </w:r>
          </w:p>
          <w:p w14:paraId="3F8731AE">
            <w:pPr>
              <w:keepNext w:val="0"/>
              <w:keepLines w:val="0"/>
              <w:widowControl/>
              <w:suppressLineNumbers w:val="0"/>
              <w:spacing w:line="240" w:lineRule="auto"/>
              <w:jc w:val="left"/>
              <w:rPr>
                <w:rFonts w:hint="eastAsia" w:ascii="宋体" w:hAnsi="宋体" w:eastAsia="宋体" w:cs="宋体"/>
                <w:sz w:val="22"/>
                <w:szCs w:val="22"/>
              </w:rPr>
            </w:pPr>
            <w:r>
              <w:rPr>
                <w:rFonts w:hint="eastAsia" w:ascii="宋体" w:hAnsi="宋体" w:eastAsia="宋体" w:cs="宋体"/>
                <w:sz w:val="22"/>
                <w:szCs w:val="22"/>
              </w:rPr>
              <w:t>b) 白内障；</w:t>
            </w:r>
          </w:p>
          <w:p w14:paraId="21080F0D">
            <w:pPr>
              <w:keepNext w:val="0"/>
              <w:keepLines w:val="0"/>
              <w:widowControl/>
              <w:suppressLineNumbers w:val="0"/>
              <w:spacing w:line="240" w:lineRule="auto"/>
              <w:jc w:val="left"/>
              <w:rPr>
                <w:rFonts w:hint="eastAsia" w:ascii="宋体" w:hAnsi="宋体" w:eastAsia="宋体" w:cs="宋体"/>
                <w:sz w:val="22"/>
                <w:szCs w:val="22"/>
              </w:rPr>
            </w:pPr>
            <w:r>
              <w:rPr>
                <w:rFonts w:hint="eastAsia" w:ascii="宋体" w:hAnsi="宋体" w:eastAsia="宋体" w:cs="宋体"/>
                <w:sz w:val="22"/>
                <w:szCs w:val="22"/>
              </w:rPr>
              <w:t>c) 面、手背和前臂等暴露部位严重慢性皮肤疾病；</w:t>
            </w:r>
          </w:p>
          <w:p w14:paraId="775E94D0">
            <w:pPr>
              <w:keepNext w:val="0"/>
              <w:keepLines w:val="0"/>
              <w:widowControl/>
              <w:suppressLineNumbers w:val="0"/>
              <w:spacing w:line="240" w:lineRule="auto"/>
              <w:jc w:val="left"/>
              <w:rPr>
                <w:rFonts w:ascii="宋体" w:hAnsi="宋体" w:eastAsia="宋体" w:cs="宋体"/>
                <w:sz w:val="22"/>
                <w:szCs w:val="22"/>
              </w:rPr>
            </w:pPr>
            <w:r>
              <w:rPr>
                <w:rFonts w:hint="eastAsia" w:ascii="宋体" w:hAnsi="宋体" w:eastAsia="宋体" w:cs="宋体"/>
                <w:sz w:val="22"/>
                <w:szCs w:val="22"/>
              </w:rPr>
              <w:t>d) 白化病。</w:t>
            </w:r>
          </w:p>
          <w:p w14:paraId="4F546035">
            <w:pPr>
              <w:keepNext w:val="0"/>
              <w:keepLines w:val="0"/>
              <w:widowControl/>
              <w:suppressLineNumbers w:val="0"/>
              <w:spacing w:line="240" w:lineRule="auto"/>
              <w:jc w:val="left"/>
              <w:rPr>
                <w:rFonts w:ascii="宋体" w:hAnsi="宋体" w:eastAsia="宋体" w:cs="宋体"/>
                <w:sz w:val="22"/>
                <w:szCs w:val="22"/>
              </w:rPr>
            </w:pPr>
            <w:r>
              <w:rPr>
                <w:rFonts w:ascii="宋体" w:hAnsi="宋体" w:eastAsia="宋体" w:cs="宋体"/>
                <w:sz w:val="22"/>
                <w:szCs w:val="22"/>
              </w:rPr>
              <w:t xml:space="preserve"> </w:t>
            </w:r>
          </w:p>
          <w:p w14:paraId="6C3E922B">
            <w:pPr>
              <w:keepNext w:val="0"/>
              <w:keepLines w:val="0"/>
              <w:widowControl/>
              <w:suppressLineNumbers w:val="0"/>
              <w:jc w:val="left"/>
            </w:pPr>
            <w:r>
              <w:rPr>
                <w:rFonts w:hint="eastAsia" w:ascii="宋体" w:hAnsi="宋体" w:eastAsia="宋体" w:cs="宋体"/>
                <w:b/>
                <w:bCs/>
                <w:sz w:val="22"/>
                <w:szCs w:val="22"/>
                <w:lang w:val="en-US" w:eastAsia="zh-CN"/>
              </w:rPr>
              <w:t>高温：</w:t>
            </w:r>
            <w:r>
              <w:rPr>
                <w:rFonts w:ascii="宋体" w:hAnsi="宋体" w:eastAsia="宋体" w:cs="宋体"/>
                <w:color w:val="000000"/>
                <w:kern w:val="0"/>
                <w:sz w:val="21"/>
                <w:szCs w:val="21"/>
                <w:lang w:val="en-US" w:eastAsia="zh-CN" w:bidi="ar"/>
              </w:rPr>
              <w:t xml:space="preserve"> </w:t>
            </w:r>
          </w:p>
          <w:p w14:paraId="6C7C02B2">
            <w:pPr>
              <w:keepNext w:val="0"/>
              <w:keepLines w:val="0"/>
              <w:widowControl/>
              <w:suppressLineNumbers w:val="0"/>
              <w:spacing w:line="240" w:lineRule="auto"/>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a) 未控制的2级及以上高血压；</w:t>
            </w:r>
          </w:p>
          <w:p w14:paraId="0F9DDA6D">
            <w:pPr>
              <w:keepNext w:val="0"/>
              <w:keepLines w:val="0"/>
              <w:widowControl/>
              <w:suppressLineNumbers w:val="0"/>
              <w:spacing w:line="240" w:lineRule="auto"/>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b) 慢性肾脏病；</w:t>
            </w:r>
          </w:p>
          <w:p w14:paraId="1472A972">
            <w:pPr>
              <w:keepNext w:val="0"/>
              <w:keepLines w:val="0"/>
              <w:widowControl/>
              <w:suppressLineNumbers w:val="0"/>
              <w:spacing w:line="240" w:lineRule="auto"/>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c) 未控制的甲状腺功能亢进症；</w:t>
            </w:r>
          </w:p>
          <w:p w14:paraId="77A50D0F">
            <w:pPr>
              <w:keepNext w:val="0"/>
              <w:keepLines w:val="0"/>
              <w:widowControl/>
              <w:suppressLineNumbers w:val="0"/>
              <w:spacing w:line="240" w:lineRule="auto"/>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d) 未控制的糖尿病；</w:t>
            </w:r>
          </w:p>
          <w:p w14:paraId="1D8323D6">
            <w:pPr>
              <w:keepNext w:val="0"/>
              <w:keepLines w:val="0"/>
              <w:widowControl/>
              <w:suppressLineNumbers w:val="0"/>
              <w:spacing w:line="240" w:lineRule="auto"/>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e) 全身瘢痕面积≥20%以上（伤残等级达八级）；</w:t>
            </w:r>
          </w:p>
          <w:p w14:paraId="59E61F8C">
            <w:pPr>
              <w:keepNext w:val="0"/>
              <w:keepLines w:val="0"/>
              <w:widowControl/>
              <w:suppressLineNumbers w:val="0"/>
              <w:spacing w:line="240" w:lineRule="auto"/>
              <w:jc w:val="left"/>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f) 癫痫；</w:t>
            </w:r>
          </w:p>
          <w:p w14:paraId="2F1FCFE5">
            <w:pPr>
              <w:keepNext w:val="0"/>
              <w:keepLines w:val="0"/>
              <w:widowControl/>
              <w:suppressLineNumbers w:val="0"/>
              <w:spacing w:line="240" w:lineRule="auto"/>
              <w:jc w:val="left"/>
              <w:rPr>
                <w:rFonts w:hint="default" w:ascii="宋体" w:hAnsi="宋体" w:eastAsia="宋体" w:cs="宋体"/>
                <w:sz w:val="22"/>
                <w:szCs w:val="22"/>
                <w:lang w:val="en-US" w:eastAsia="zh-CN"/>
              </w:rPr>
            </w:pPr>
            <w:r>
              <w:rPr>
                <w:rFonts w:hint="default" w:ascii="Times New Roman" w:hAnsi="Times New Roman" w:eastAsia="宋体" w:cs="Times New Roman"/>
                <w:color w:val="000000"/>
                <w:kern w:val="0"/>
                <w:sz w:val="21"/>
                <w:szCs w:val="21"/>
                <w:lang w:val="en-US" w:eastAsia="zh-CN" w:bidi="ar"/>
              </w:rPr>
              <w:t>g) 病理性心律失常。</w:t>
            </w:r>
          </w:p>
        </w:tc>
        <w:tc>
          <w:tcPr>
            <w:tcW w:w="1639" w:type="dxa"/>
            <w:noWrap w:val="0"/>
            <w:tcMar>
              <w:top w:w="0" w:type="dxa"/>
              <w:left w:w="108" w:type="dxa"/>
              <w:bottom w:w="0" w:type="dxa"/>
              <w:right w:w="108" w:type="dxa"/>
            </w:tcMar>
            <w:vAlign w:val="center"/>
          </w:tcPr>
          <w:p w14:paraId="644B54DD">
            <w:pPr>
              <w:widowControl/>
              <w:spacing w:line="375" w:lineRule="atLeast"/>
              <w:jc w:val="left"/>
              <w:rPr>
                <w:rFonts w:hint="default" w:ascii="宋体" w:hAnsi="宋体" w:cs="宋体"/>
                <w:kern w:val="0"/>
                <w:sz w:val="24"/>
                <w:lang w:val="en-US" w:eastAsia="zh-CN"/>
              </w:rPr>
            </w:pPr>
            <w:r>
              <w:rPr>
                <w:rFonts w:hint="eastAsia" w:ascii="宋体" w:hAnsi="宋体" w:cs="宋体"/>
                <w:kern w:val="0"/>
                <w:sz w:val="21"/>
                <w:szCs w:val="21"/>
                <w:lang w:val="en-US" w:eastAsia="zh-CN"/>
              </w:rPr>
              <w:t>GBZ188-2025对职业健康检查目标疾病（职业病）未做说明</w:t>
            </w:r>
          </w:p>
        </w:tc>
        <w:tc>
          <w:tcPr>
            <w:tcW w:w="1402" w:type="dxa"/>
            <w:noWrap w:val="0"/>
            <w:tcMar>
              <w:top w:w="0" w:type="dxa"/>
              <w:left w:w="108" w:type="dxa"/>
              <w:bottom w:w="0" w:type="dxa"/>
              <w:right w:w="108" w:type="dxa"/>
            </w:tcMar>
            <w:vAlign w:val="center"/>
          </w:tcPr>
          <w:p w14:paraId="492A79A6">
            <w:pPr>
              <w:widowControl/>
              <w:spacing w:line="375" w:lineRule="atLeast"/>
              <w:jc w:val="left"/>
              <w:rPr>
                <w:rFonts w:hint="default" w:ascii="宋体" w:hAnsi="宋体" w:cs="宋体"/>
                <w:color w:val="000000"/>
                <w:kern w:val="0"/>
                <w:sz w:val="24"/>
                <w:lang w:val="en-US" w:eastAsia="zh-CN"/>
              </w:rPr>
            </w:pPr>
            <w:r>
              <w:rPr>
                <w:rFonts w:hint="eastAsia" w:ascii="宋体" w:hAnsi="宋体" w:eastAsia="宋体" w:cs="宋体"/>
                <w:b w:val="0"/>
                <w:bCs w:val="0"/>
                <w:kern w:val="0"/>
                <w:sz w:val="21"/>
                <w:szCs w:val="21"/>
                <w:lang w:val="en-US" w:eastAsia="zh-CN"/>
              </w:rPr>
              <w:t>工作服、安全鞋、防毒口罩、防护眼镜、防护手套、防护耳塞</w:t>
            </w:r>
          </w:p>
        </w:tc>
      </w:tr>
    </w:tbl>
    <w:p w14:paraId="5E84A52C">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二）甲方应依照《职业病防治法》及《职业健康监护技术规范》（GBZ188）的要求，做好乙方上岗前、在岗期间、离岗时的职业健康检查和应急检查。一旦发生职业病，甲方必须按照国家有关法律、法规的要求，为乙方如实提供职业病诊断、鉴定所需的劳动者职业史和职业病危害接触史、工作场所职业病危害因素检测结果等资料及相应待遇。</w:t>
      </w:r>
    </w:p>
    <w:p w14:paraId="3D5B44D8">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三）乙方应自觉遵守甲方的职业卫生管理制度和操作规程，正确使用维护职业病防护设施和个人职业病防护用品，积极参加职业卫生知识培训，按要求参加上岗前、在岗期间和离岗时的职业健康检查。若被检查出职业禁忌证或发现与所从事的职业相关的健康损害的，必须服从甲方为保护乙方职业健康而调离原岗位并妥善安置的工作安排。</w:t>
      </w:r>
    </w:p>
    <w:p w14:paraId="431D07E2">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（四）当乙方工作岗位或者工作内容发生变更，从事告知书中未告知的存在职业病危害的作业时，甲方应与其协商变更告知书相关内容，重新签订职业病危害告知书。</w:t>
      </w:r>
    </w:p>
    <w:p w14:paraId="72C7A913">
      <w:pPr>
        <w:widowControl/>
        <w:spacing w:line="375" w:lineRule="atLeast"/>
        <w:ind w:firstLine="662"/>
        <w:jc w:val="left"/>
        <w:rPr>
          <w:rFonts w:ascii="宋体" w:hAnsi="宋体" w:cs="宋体"/>
          <w:color w:val="000000"/>
          <w:kern w:val="0"/>
          <w:sz w:val="27"/>
          <w:szCs w:val="27"/>
        </w:rPr>
      </w:pPr>
      <w:r>
        <w:rPr>
          <w:rFonts w:ascii="宋体" w:hAnsi="宋体" w:cs="宋体"/>
          <w:color w:val="000000"/>
          <w:kern w:val="0"/>
          <w:sz w:val="24"/>
        </w:rPr>
        <w:t>（五）甲方未履行职业病危害告知义务，乙方有权拒绝从事存在职业病危害的作业，甲方不得因此解除与乙方所订立的劳动合同。</w:t>
      </w:r>
    </w:p>
    <w:p w14:paraId="208C0651">
      <w:pPr>
        <w:widowControl/>
        <w:spacing w:line="375" w:lineRule="atLeast"/>
        <w:ind w:firstLine="662"/>
        <w:jc w:val="left"/>
        <w:rPr>
          <w:rFonts w:hint="eastAsia" w:ascii="宋体" w:hAnsi="宋体" w:cs="宋体"/>
          <w:color w:val="000000"/>
          <w:kern w:val="0"/>
          <w:sz w:val="24"/>
        </w:rPr>
      </w:pPr>
      <w:r>
        <w:rPr>
          <w:rFonts w:ascii="宋体" w:hAnsi="宋体" w:cs="宋体"/>
          <w:color w:val="000000"/>
          <w:kern w:val="0"/>
          <w:sz w:val="24"/>
        </w:rPr>
        <w:t>（六）职业病危害告知书作为甲方与乙方签订劳动合同的附件，具有同等的法律效力。</w:t>
      </w:r>
    </w:p>
    <w:p w14:paraId="7A059E63">
      <w:pPr>
        <w:widowControl/>
        <w:spacing w:line="375" w:lineRule="atLeast"/>
        <w:ind w:firstLine="662"/>
        <w:jc w:val="left"/>
        <w:rPr>
          <w:rFonts w:hint="eastAsia" w:ascii="宋体" w:hAnsi="宋体" w:cs="宋体"/>
          <w:color w:val="000000"/>
          <w:kern w:val="0"/>
          <w:sz w:val="27"/>
          <w:szCs w:val="27"/>
        </w:rPr>
      </w:pPr>
    </w:p>
    <w:p w14:paraId="679B9132">
      <w:pPr>
        <w:widowControl/>
        <w:spacing w:line="375" w:lineRule="atLeast"/>
        <w:ind w:firstLine="662"/>
        <w:jc w:val="left"/>
        <w:rPr>
          <w:rFonts w:hint="eastAsia" w:ascii="宋体" w:hAnsi="宋体" w:eastAsia="宋体" w:cs="宋体"/>
          <w:color w:val="000000"/>
          <w:kern w:val="0"/>
          <w:sz w:val="27"/>
          <w:szCs w:val="27"/>
          <w:lang w:val="en-US" w:eastAsia="zh-CN"/>
        </w:rPr>
      </w:pPr>
      <w:r>
        <w:rPr>
          <w:rFonts w:ascii="宋体" w:hAnsi="宋体" w:cs="宋体"/>
          <w:color w:val="000000"/>
          <w:kern w:val="0"/>
          <w:sz w:val="24"/>
        </w:rPr>
        <w:t>甲方（签章）                     </w:t>
      </w:r>
      <w:r>
        <w:rPr>
          <w:rFonts w:hint="eastAsia" w:ascii="宋体" w:hAnsi="宋体" w:cs="宋体"/>
          <w:color w:val="000000"/>
          <w:kern w:val="0"/>
          <w:sz w:val="24"/>
          <w:lang w:val="en-US" w:eastAsia="zh-CN"/>
        </w:rPr>
        <w:t xml:space="preserve">           </w:t>
      </w:r>
      <w:r>
        <w:rPr>
          <w:rFonts w:ascii="宋体" w:hAnsi="宋体" w:cs="宋体"/>
          <w:color w:val="000000"/>
          <w:kern w:val="0"/>
          <w:sz w:val="24"/>
        </w:rPr>
        <w:t>  乙方（签字</w:t>
      </w:r>
      <w:r>
        <w:rPr>
          <w:rFonts w:hint="eastAsia" w:ascii="宋体" w:hAnsi="宋体" w:cs="宋体"/>
          <w:color w:val="000000"/>
          <w:kern w:val="0"/>
          <w:sz w:val="24"/>
          <w:lang w:eastAsia="zh-CN"/>
        </w:rPr>
        <w:t>）</w:t>
      </w:r>
    </w:p>
    <w:p w14:paraId="39D5FE29">
      <w:pPr>
        <w:widowControl/>
        <w:spacing w:line="375" w:lineRule="atLeast"/>
        <w:ind w:firstLine="662"/>
        <w:jc w:val="left"/>
        <w:rPr>
          <w:rFonts w:hint="eastAsia"/>
        </w:rPr>
      </w:pPr>
      <w:r>
        <w:rPr>
          <w:rFonts w:ascii="宋体" w:hAnsi="宋体" w:cs="宋体"/>
          <w:color w:val="000000"/>
          <w:kern w:val="0"/>
          <w:sz w:val="24"/>
        </w:rPr>
        <w:t> 年  月   日                 </w:t>
      </w:r>
      <w:r>
        <w:rPr>
          <w:rFonts w:hint="eastAsia" w:ascii="宋体" w:hAnsi="宋体" w:cs="宋体"/>
          <w:color w:val="000000"/>
          <w:kern w:val="0"/>
          <w:sz w:val="24"/>
          <w:lang w:val="en-US" w:eastAsia="zh-CN"/>
        </w:rPr>
        <w:t xml:space="preserve">       </w:t>
      </w:r>
      <w:r>
        <w:rPr>
          <w:rFonts w:ascii="宋体" w:hAnsi="宋体" w:cs="宋体"/>
          <w:color w:val="000000"/>
          <w:kern w:val="0"/>
          <w:sz w:val="24"/>
        </w:rPr>
        <w:t> </w:t>
      </w:r>
      <w:r>
        <w:rPr>
          <w:rFonts w:hint="eastAsia" w:ascii="宋体" w:hAnsi="宋体" w:cs="宋体"/>
          <w:color w:val="000000"/>
          <w:kern w:val="0"/>
          <w:sz w:val="24"/>
          <w:lang w:val="en-US" w:eastAsia="zh-CN"/>
        </w:rPr>
        <w:t xml:space="preserve">       </w:t>
      </w:r>
      <w:r>
        <w:rPr>
          <w:rFonts w:ascii="宋体" w:hAnsi="宋体" w:cs="宋体"/>
          <w:color w:val="000000"/>
          <w:kern w:val="0"/>
          <w:sz w:val="24"/>
        </w:rPr>
        <w:t>  </w:t>
      </w:r>
      <w:r>
        <w:rPr>
          <w:rFonts w:hint="eastAsia" w:ascii="宋体" w:hAnsi="宋体" w:cs="宋体"/>
          <w:color w:val="000000"/>
          <w:kern w:val="0"/>
          <w:sz w:val="24"/>
          <w:lang w:val="en-US" w:eastAsia="zh-CN"/>
        </w:rPr>
        <w:t xml:space="preserve"> </w:t>
      </w:r>
      <w:r>
        <w:rPr>
          <w:rFonts w:ascii="宋体" w:hAnsi="宋体" w:cs="宋体"/>
          <w:color w:val="000000"/>
          <w:kern w:val="0"/>
          <w:sz w:val="24"/>
        </w:rPr>
        <w:t>  年  月  日</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C03"/>
    <w:rsid w:val="00AB7C03"/>
    <w:rsid w:val="1D7F4B10"/>
    <w:rsid w:val="273597F4"/>
    <w:rsid w:val="34FE1408"/>
    <w:rsid w:val="37D979DB"/>
    <w:rsid w:val="3BBEDB76"/>
    <w:rsid w:val="3FD78EA2"/>
    <w:rsid w:val="5DBF55FB"/>
    <w:rsid w:val="60B747CB"/>
    <w:rsid w:val="6A1C0CD0"/>
    <w:rsid w:val="6DDFC513"/>
    <w:rsid w:val="6FBF123D"/>
    <w:rsid w:val="6FDB1E87"/>
    <w:rsid w:val="72FD7DA7"/>
    <w:rsid w:val="75BB4840"/>
    <w:rsid w:val="76AF857F"/>
    <w:rsid w:val="77A7BC25"/>
    <w:rsid w:val="77F7C408"/>
    <w:rsid w:val="7AEE1F14"/>
    <w:rsid w:val="7AFFE4FF"/>
    <w:rsid w:val="7B32893A"/>
    <w:rsid w:val="7B4EE89C"/>
    <w:rsid w:val="7BF3B793"/>
    <w:rsid w:val="7D76F257"/>
    <w:rsid w:val="7EFF4726"/>
    <w:rsid w:val="7FBFE1E3"/>
    <w:rsid w:val="91E454B6"/>
    <w:rsid w:val="9B7C7950"/>
    <w:rsid w:val="9EFF3787"/>
    <w:rsid w:val="9FEF1E75"/>
    <w:rsid w:val="9FFED6C3"/>
    <w:rsid w:val="AFFF5A5D"/>
    <w:rsid w:val="BBBAC183"/>
    <w:rsid w:val="BFBBE488"/>
    <w:rsid w:val="DB9D1FB9"/>
    <w:rsid w:val="EA7F6D7F"/>
    <w:rsid w:val="EE9E2F16"/>
    <w:rsid w:val="F365EA70"/>
    <w:rsid w:val="F757B0E5"/>
    <w:rsid w:val="FAFED9D7"/>
    <w:rsid w:val="FB37A67B"/>
    <w:rsid w:val="FEFF5478"/>
    <w:rsid w:val="FEFFD999"/>
    <w:rsid w:val="FF27D166"/>
    <w:rsid w:val="FFBF5F03"/>
    <w:rsid w:val="FFDD3B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style>
  <w:style w:type="paragraph" w:styleId="2">
    <w:name w:val="Normal (Web)"/>
    <w:basedOn w:val="1"/>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MC SYSTEM</Company>
  <Pages>2</Pages>
  <Words>118</Words>
  <Characters>678</Characters>
  <Lines>5</Lines>
  <Paragraphs>1</Paragraphs>
  <TotalTime>0</TotalTime>
  <ScaleCrop>false</ScaleCrop>
  <LinksUpToDate>false</LinksUpToDate>
  <CharactersWithSpaces>795</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2014-11-25T17:29:00Z</dcterms:created>
  <dc:creator>周秀玲</dc:creator>
  <cp:lastModifiedBy>陈野菲</cp:lastModifiedBy>
  <dcterms:modified xsi:type="dcterms:W3CDTF">2026-09-21T15:21:06Z</dcterms:modified>
  <dc:title>附件1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AFDB68D361FF2E00E2DAB06ACD6BD7DF_43</vt:lpwstr>
  </property>
</Properties>
</file>