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FAF48E">
      <w:pPr>
        <w:widowControl/>
        <w:spacing w:line="375" w:lineRule="atLeast"/>
        <w:jc w:val="center"/>
        <w:rPr>
          <w:rFonts w:ascii="宋体" w:hAnsi="宋体" w:cs="宋体"/>
          <w:color w:val="000000"/>
          <w:kern w:val="0"/>
          <w:sz w:val="36"/>
          <w:szCs w:val="36"/>
        </w:rPr>
      </w:pPr>
      <w:bookmarkStart w:id="0" w:name="_GoBack"/>
      <w:bookmarkEnd w:id="0"/>
      <w:r>
        <w:rPr>
          <w:rFonts w:hint="eastAsia" w:ascii="宋体" w:hAnsi="宋体" w:cs="宋体"/>
          <w:color w:val="000000"/>
          <w:kern w:val="0"/>
          <w:sz w:val="36"/>
          <w:szCs w:val="36"/>
        </w:rPr>
        <w:t>慧瑞环保涂料（上海）有限公司</w:t>
      </w:r>
    </w:p>
    <w:p w14:paraId="5117EFAD">
      <w:pPr>
        <w:widowControl/>
        <w:spacing w:line="375" w:lineRule="atLeast"/>
        <w:jc w:val="center"/>
        <w:rPr>
          <w:rFonts w:ascii="宋体" w:hAnsi="宋体" w:cs="宋体"/>
          <w:color w:val="000000"/>
          <w:kern w:val="0"/>
          <w:sz w:val="27"/>
          <w:szCs w:val="27"/>
        </w:rPr>
      </w:pPr>
      <w:r>
        <w:rPr>
          <w:rFonts w:ascii="宋体" w:hAnsi="宋体" w:cs="宋体"/>
          <w:color w:val="000000"/>
          <w:kern w:val="0"/>
          <w:sz w:val="36"/>
          <w:szCs w:val="36"/>
        </w:rPr>
        <w:t>职业病危害告知书</w:t>
      </w:r>
    </w:p>
    <w:p w14:paraId="5AE0E363">
      <w:pPr>
        <w:widowControl/>
        <w:spacing w:line="375" w:lineRule="atLeast"/>
        <w:jc w:val="center"/>
        <w:rPr>
          <w:rFonts w:ascii="宋体" w:hAnsi="宋体" w:cs="宋体"/>
          <w:color w:val="000000"/>
          <w:kern w:val="0"/>
          <w:sz w:val="27"/>
          <w:szCs w:val="27"/>
        </w:rPr>
      </w:pPr>
      <w:r>
        <w:rPr>
          <w:rFonts w:ascii="宋体" w:hAnsi="宋体" w:cs="宋体"/>
          <w:color w:val="000000"/>
          <w:kern w:val="0"/>
          <w:sz w:val="27"/>
          <w:szCs w:val="27"/>
        </w:rPr>
        <w:t> </w:t>
      </w:r>
    </w:p>
    <w:p w14:paraId="629AA69B">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根据《职业病防治法》第三十</w:t>
      </w:r>
      <w:r>
        <w:rPr>
          <w:rFonts w:hint="eastAsia" w:ascii="宋体" w:hAnsi="宋体" w:cs="宋体"/>
          <w:color w:val="000000"/>
          <w:kern w:val="0"/>
          <w:sz w:val="24"/>
          <w:lang w:val="en-US" w:eastAsia="zh-CN"/>
        </w:rPr>
        <w:t>三</w:t>
      </w:r>
      <w:r>
        <w:rPr>
          <w:rFonts w:ascii="宋体" w:hAnsi="宋体" w:cs="宋体"/>
          <w:color w:val="000000"/>
          <w:kern w:val="0"/>
          <w:sz w:val="24"/>
        </w:rPr>
        <w:t>条的规定，用人单位（甲方）在与劳动者（乙方）订立劳动合同时应告知工作过程中可能产生的职业病危害及其后果、职业病防护措施和待遇等内容：</w:t>
      </w:r>
    </w:p>
    <w:p w14:paraId="4407F7A9">
      <w:pPr>
        <w:widowControl/>
        <w:numPr>
          <w:ilvl w:val="0"/>
          <w:numId w:val="1"/>
        </w:numPr>
        <w:spacing w:line="375" w:lineRule="atLeast"/>
        <w:ind w:firstLine="662"/>
        <w:jc w:val="left"/>
        <w:rPr>
          <w:rFonts w:ascii="宋体" w:hAnsi="宋体" w:cs="宋体"/>
          <w:color w:val="000000"/>
          <w:kern w:val="0"/>
          <w:sz w:val="24"/>
        </w:rPr>
      </w:pPr>
      <w:r>
        <w:rPr>
          <w:rFonts w:ascii="宋体" w:hAnsi="宋体" w:cs="宋体"/>
          <w:color w:val="000000"/>
          <w:kern w:val="0"/>
          <w:sz w:val="24"/>
        </w:rPr>
        <w:t>所在工作岗位、可能产生的职业病危害、后果及职业病防护措施：</w:t>
      </w:r>
    </w:p>
    <w:tbl>
      <w:tblPr>
        <w:tblStyle w:val="3"/>
        <w:tblW w:w="0" w:type="auto"/>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0" w:type="dxa"/>
          <w:bottom w:w="0" w:type="dxa"/>
          <w:right w:w="0" w:type="dxa"/>
        </w:tblCellMar>
      </w:tblPr>
      <w:tblGrid>
        <w:gridCol w:w="1685"/>
        <w:gridCol w:w="1411"/>
        <w:gridCol w:w="2385"/>
        <w:gridCol w:w="1639"/>
        <w:gridCol w:w="1402"/>
      </w:tblGrid>
      <w:tr w14:paraId="765EBBB0">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PrEx>
        <w:trPr>
          <w:trHeight w:val="769" w:hRule="atLeast"/>
          <w:jc w:val="center"/>
        </w:trPr>
        <w:tc>
          <w:tcPr>
            <w:tcW w:w="1685" w:type="dxa"/>
            <w:noWrap w:val="0"/>
            <w:tcMar>
              <w:top w:w="0" w:type="dxa"/>
              <w:left w:w="108" w:type="dxa"/>
              <w:bottom w:w="0" w:type="dxa"/>
              <w:right w:w="108" w:type="dxa"/>
            </w:tcMar>
            <w:vAlign w:val="center"/>
          </w:tcPr>
          <w:p w14:paraId="2E15E9EB">
            <w:pPr>
              <w:widowControl/>
              <w:spacing w:line="375" w:lineRule="atLeast"/>
              <w:jc w:val="center"/>
              <w:rPr>
                <w:rFonts w:ascii="宋体" w:hAnsi="宋体" w:cs="宋体"/>
                <w:kern w:val="0"/>
                <w:sz w:val="24"/>
              </w:rPr>
            </w:pPr>
            <w:r>
              <w:rPr>
                <w:rFonts w:ascii="宋体" w:hAnsi="宋体" w:cs="宋体"/>
                <w:color w:val="000000"/>
                <w:kern w:val="0"/>
                <w:sz w:val="24"/>
              </w:rPr>
              <w:t>所在部门及</w:t>
            </w:r>
          </w:p>
          <w:p w14:paraId="3B25A703">
            <w:pPr>
              <w:widowControl/>
              <w:spacing w:line="375" w:lineRule="atLeast"/>
              <w:jc w:val="center"/>
              <w:rPr>
                <w:rFonts w:ascii="宋体" w:hAnsi="宋体" w:cs="宋体"/>
                <w:kern w:val="0"/>
                <w:sz w:val="24"/>
              </w:rPr>
            </w:pPr>
            <w:r>
              <w:rPr>
                <w:rFonts w:ascii="宋体" w:hAnsi="宋体" w:cs="宋体"/>
                <w:color w:val="000000"/>
                <w:kern w:val="0"/>
                <w:sz w:val="24"/>
              </w:rPr>
              <w:t>岗位名称</w:t>
            </w:r>
          </w:p>
        </w:tc>
        <w:tc>
          <w:tcPr>
            <w:tcW w:w="1411" w:type="dxa"/>
            <w:noWrap w:val="0"/>
            <w:tcMar>
              <w:top w:w="0" w:type="dxa"/>
              <w:left w:w="108" w:type="dxa"/>
              <w:bottom w:w="0" w:type="dxa"/>
              <w:right w:w="108" w:type="dxa"/>
            </w:tcMar>
            <w:vAlign w:val="center"/>
          </w:tcPr>
          <w:p w14:paraId="5CABFBAF">
            <w:pPr>
              <w:widowControl/>
              <w:spacing w:line="375" w:lineRule="atLeast"/>
              <w:jc w:val="center"/>
              <w:rPr>
                <w:rFonts w:ascii="宋体" w:hAnsi="宋体" w:cs="宋体"/>
                <w:kern w:val="0"/>
                <w:sz w:val="24"/>
              </w:rPr>
            </w:pPr>
            <w:r>
              <w:rPr>
                <w:rFonts w:ascii="宋体" w:hAnsi="宋体" w:cs="宋体"/>
                <w:color w:val="000000"/>
                <w:kern w:val="0"/>
                <w:sz w:val="24"/>
              </w:rPr>
              <w:t>职业病危害因素</w:t>
            </w:r>
          </w:p>
        </w:tc>
        <w:tc>
          <w:tcPr>
            <w:tcW w:w="2385" w:type="dxa"/>
            <w:noWrap w:val="0"/>
            <w:tcMar>
              <w:top w:w="0" w:type="dxa"/>
              <w:left w:w="108" w:type="dxa"/>
              <w:bottom w:w="0" w:type="dxa"/>
              <w:right w:w="108" w:type="dxa"/>
            </w:tcMar>
            <w:vAlign w:val="center"/>
          </w:tcPr>
          <w:p w14:paraId="02824695">
            <w:pPr>
              <w:widowControl/>
              <w:spacing w:line="375" w:lineRule="atLeast"/>
              <w:jc w:val="center"/>
              <w:rPr>
                <w:rFonts w:ascii="宋体" w:hAnsi="宋体" w:cs="宋体"/>
                <w:kern w:val="0"/>
                <w:sz w:val="24"/>
              </w:rPr>
            </w:pPr>
            <w:r>
              <w:rPr>
                <w:rFonts w:ascii="宋体" w:hAnsi="宋体" w:cs="宋体"/>
                <w:color w:val="000000"/>
                <w:kern w:val="0"/>
                <w:sz w:val="24"/>
              </w:rPr>
              <w:t>职业禁忌证</w:t>
            </w:r>
          </w:p>
        </w:tc>
        <w:tc>
          <w:tcPr>
            <w:tcW w:w="1639" w:type="dxa"/>
            <w:noWrap w:val="0"/>
            <w:tcMar>
              <w:top w:w="0" w:type="dxa"/>
              <w:left w:w="108" w:type="dxa"/>
              <w:bottom w:w="0" w:type="dxa"/>
              <w:right w:w="108" w:type="dxa"/>
            </w:tcMar>
            <w:vAlign w:val="center"/>
          </w:tcPr>
          <w:p w14:paraId="0DD58DDB">
            <w:pPr>
              <w:widowControl/>
              <w:spacing w:line="375" w:lineRule="atLeast"/>
              <w:jc w:val="center"/>
              <w:rPr>
                <w:rFonts w:ascii="宋体" w:hAnsi="宋体" w:cs="宋体"/>
                <w:kern w:val="0"/>
                <w:sz w:val="24"/>
              </w:rPr>
            </w:pPr>
            <w:r>
              <w:rPr>
                <w:rFonts w:ascii="宋体" w:hAnsi="宋体" w:cs="宋体"/>
                <w:color w:val="000000"/>
                <w:kern w:val="0"/>
                <w:sz w:val="24"/>
              </w:rPr>
              <w:t>可能导致的职业病危害</w:t>
            </w:r>
          </w:p>
        </w:tc>
        <w:tc>
          <w:tcPr>
            <w:tcW w:w="1402" w:type="dxa"/>
            <w:noWrap w:val="0"/>
            <w:tcMar>
              <w:top w:w="0" w:type="dxa"/>
              <w:left w:w="108" w:type="dxa"/>
              <w:bottom w:w="0" w:type="dxa"/>
              <w:right w:w="108" w:type="dxa"/>
            </w:tcMar>
            <w:vAlign w:val="center"/>
          </w:tcPr>
          <w:p w14:paraId="10DD5E01">
            <w:pPr>
              <w:widowControl/>
              <w:spacing w:line="375" w:lineRule="atLeast"/>
              <w:jc w:val="center"/>
              <w:rPr>
                <w:rFonts w:ascii="宋体" w:hAnsi="宋体" w:cs="宋体"/>
                <w:kern w:val="0"/>
                <w:sz w:val="24"/>
              </w:rPr>
            </w:pPr>
            <w:r>
              <w:rPr>
                <w:rFonts w:ascii="宋体" w:hAnsi="宋体" w:cs="宋体"/>
                <w:color w:val="000000"/>
                <w:kern w:val="0"/>
                <w:sz w:val="24"/>
              </w:rPr>
              <w:t>职业病防护措施</w:t>
            </w:r>
          </w:p>
        </w:tc>
      </w:tr>
      <w:tr w14:paraId="7FB365D2">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PrEx>
        <w:trPr>
          <w:trHeight w:val="2142" w:hRule="atLeast"/>
          <w:jc w:val="center"/>
        </w:trPr>
        <w:tc>
          <w:tcPr>
            <w:tcW w:w="1685" w:type="dxa"/>
            <w:noWrap w:val="0"/>
            <w:tcMar>
              <w:top w:w="0" w:type="dxa"/>
              <w:left w:w="108" w:type="dxa"/>
              <w:bottom w:w="0" w:type="dxa"/>
              <w:right w:w="108" w:type="dxa"/>
            </w:tcMar>
            <w:vAlign w:val="center"/>
          </w:tcPr>
          <w:p w14:paraId="07596A78">
            <w:pPr>
              <w:widowControl/>
              <w:spacing w:line="375" w:lineRule="atLeast"/>
              <w:ind w:firstLine="480" w:firstLineChars="200"/>
              <w:jc w:val="left"/>
              <w:rPr>
                <w:rFonts w:hint="eastAsia" w:ascii="宋体" w:hAnsi="宋体" w:eastAsia="宋体" w:cs="宋体"/>
                <w:kern w:val="0"/>
                <w:sz w:val="24"/>
                <w:lang w:val="en-US" w:eastAsia="zh-CN"/>
              </w:rPr>
            </w:pPr>
            <w:r>
              <w:rPr>
                <w:rFonts w:hint="eastAsia" w:ascii="宋体" w:hAnsi="宋体" w:eastAsia="宋体" w:cs="宋体"/>
                <w:kern w:val="0"/>
                <w:sz w:val="24"/>
                <w:lang w:val="en-US" w:eastAsia="zh-CN"/>
              </w:rPr>
              <w:t>技术部</w:t>
            </w:r>
          </w:p>
          <w:p w14:paraId="6D59C467">
            <w:pPr>
              <w:widowControl/>
              <w:spacing w:line="375" w:lineRule="atLeast"/>
              <w:ind w:firstLine="480" w:firstLineChars="200"/>
              <w:jc w:val="left"/>
              <w:rPr>
                <w:rFonts w:hint="eastAsia" w:ascii="宋体" w:hAnsi="宋体" w:eastAsia="宋体" w:cs="宋体"/>
                <w:kern w:val="0"/>
                <w:sz w:val="24"/>
                <w:lang w:val="en-US" w:eastAsia="zh-CN"/>
              </w:rPr>
            </w:pPr>
            <w:r>
              <w:rPr>
                <w:rFonts w:hint="eastAsia" w:ascii="宋体" w:hAnsi="宋体" w:eastAsia="宋体" w:cs="宋体"/>
                <w:kern w:val="0"/>
                <w:sz w:val="24"/>
                <w:lang w:val="en-US" w:eastAsia="zh-CN"/>
              </w:rPr>
              <w:t>技术员</w:t>
            </w:r>
          </w:p>
          <w:p w14:paraId="2381F73F">
            <w:pPr>
              <w:widowControl/>
              <w:spacing w:line="375" w:lineRule="atLeast"/>
              <w:jc w:val="left"/>
              <w:rPr>
                <w:rFonts w:hint="default" w:ascii="宋体" w:hAnsi="宋体" w:eastAsia="宋体" w:cs="宋体"/>
                <w:kern w:val="0"/>
                <w:sz w:val="24"/>
                <w:lang w:val="en-US" w:eastAsia="zh-CN"/>
              </w:rPr>
            </w:pPr>
            <w:r>
              <w:rPr>
                <w:rFonts w:hint="eastAsia" w:ascii="宋体" w:hAnsi="宋体" w:eastAsia="宋体" w:cs="宋体"/>
                <w:kern w:val="0"/>
                <w:sz w:val="24"/>
                <w:lang w:val="en-US" w:eastAsia="zh-CN"/>
              </w:rPr>
              <w:t>（在岗期间）</w:t>
            </w:r>
          </w:p>
          <w:p w14:paraId="74BFACAF">
            <w:pPr>
              <w:widowControl/>
              <w:spacing w:line="375" w:lineRule="atLeast"/>
              <w:jc w:val="left"/>
              <w:rPr>
                <w:rFonts w:hint="default" w:ascii="宋体" w:hAnsi="宋体" w:eastAsia="宋体" w:cs="宋体"/>
                <w:kern w:val="0"/>
                <w:sz w:val="24"/>
                <w:lang w:val="en-US" w:eastAsia="zh-CN"/>
              </w:rPr>
            </w:pPr>
          </w:p>
        </w:tc>
        <w:tc>
          <w:tcPr>
            <w:tcW w:w="1411" w:type="dxa"/>
            <w:noWrap w:val="0"/>
            <w:tcMar>
              <w:top w:w="0" w:type="dxa"/>
              <w:left w:w="108" w:type="dxa"/>
              <w:bottom w:w="0" w:type="dxa"/>
              <w:right w:w="108" w:type="dxa"/>
            </w:tcMar>
            <w:vAlign w:val="center"/>
          </w:tcPr>
          <w:p w14:paraId="2A9863FD">
            <w:pPr>
              <w:spacing w:line="219" w:lineRule="exact"/>
              <w:jc w:val="both"/>
              <w:rPr>
                <w:rFonts w:hint="eastAsia" w:ascii="宋体" w:hAnsi="宋体" w:eastAsia="宋体" w:cs="宋体"/>
                <w:w w:val="99"/>
                <w:sz w:val="20"/>
                <w:szCs w:val="20"/>
              </w:rPr>
            </w:pPr>
          </w:p>
          <w:p w14:paraId="53577088">
            <w:pPr>
              <w:keepNext w:val="0"/>
              <w:keepLines w:val="0"/>
              <w:widowControl/>
              <w:suppressLineNumbers w:val="0"/>
              <w:spacing w:line="240" w:lineRule="auto"/>
              <w:jc w:val="left"/>
              <w:rPr>
                <w:rFonts w:hint="eastAsia" w:ascii="宋体" w:hAnsi="宋体" w:eastAsia="宋体" w:cs="宋体"/>
                <w:sz w:val="22"/>
                <w:szCs w:val="22"/>
              </w:rPr>
            </w:pPr>
            <w:r>
              <w:rPr>
                <w:rFonts w:hint="eastAsia" w:ascii="宋体" w:hAnsi="宋体" w:eastAsia="宋体" w:cs="宋体"/>
                <w:sz w:val="22"/>
                <w:szCs w:val="22"/>
              </w:rPr>
              <w:t>木粉尘、噪声、苯乙烯和丙烯酸聚合物乳液、丙烯酸共聚物乳液、氢氧化铵、3-烯丙氧基-1-羟基-1-丙磺酸钠、硫酸钠、烯丙基缩水甘油醚、双酚A 环氧二丙烯酸酯、苯基双(2,4,6-三甲基苯甲酰基)氧化膦、丙氧基丙三醇三丙烯酸酯、三羟甲基丙烷三丙烯酸酯、颜料白6、颜料红170、颜料黄42、颜料黑7、丙二醇、双酚A环氧二丙烯酸酯、紫外辐射</w:t>
            </w:r>
          </w:p>
          <w:p w14:paraId="10B664FC">
            <w:pPr>
              <w:spacing w:line="219" w:lineRule="exact"/>
              <w:jc w:val="both"/>
              <w:rPr>
                <w:rFonts w:hint="eastAsia" w:ascii="宋体" w:hAnsi="宋体" w:eastAsia="宋体" w:cs="宋体"/>
                <w:w w:val="99"/>
                <w:sz w:val="20"/>
                <w:szCs w:val="20"/>
              </w:rPr>
            </w:pPr>
          </w:p>
        </w:tc>
        <w:tc>
          <w:tcPr>
            <w:tcW w:w="2385" w:type="dxa"/>
            <w:noWrap w:val="0"/>
            <w:tcMar>
              <w:top w:w="0" w:type="dxa"/>
              <w:left w:w="108" w:type="dxa"/>
              <w:bottom w:w="0" w:type="dxa"/>
              <w:right w:w="108" w:type="dxa"/>
            </w:tcMar>
            <w:vAlign w:val="center"/>
          </w:tcPr>
          <w:p w14:paraId="219CF155">
            <w:pPr>
              <w:keepNext w:val="0"/>
              <w:keepLines w:val="0"/>
              <w:widowControl/>
              <w:suppressLineNumbers w:val="0"/>
              <w:spacing w:line="240" w:lineRule="auto"/>
              <w:jc w:val="left"/>
              <w:rPr>
                <w:rFonts w:hint="eastAsia" w:ascii="宋体" w:hAnsi="宋体" w:eastAsia="宋体" w:cs="宋体"/>
                <w:b/>
                <w:bCs/>
                <w:w w:val="99"/>
                <w:sz w:val="20"/>
                <w:szCs w:val="20"/>
                <w:lang w:eastAsia="zh-CN"/>
              </w:rPr>
            </w:pPr>
            <w:r>
              <w:rPr>
                <w:rFonts w:hint="eastAsia" w:ascii="宋体" w:hAnsi="宋体" w:eastAsia="宋体" w:cs="宋体"/>
                <w:b/>
                <w:bCs/>
                <w:w w:val="99"/>
                <w:sz w:val="20"/>
                <w:szCs w:val="20"/>
              </w:rPr>
              <w:t>木粉尘</w:t>
            </w:r>
            <w:r>
              <w:rPr>
                <w:rFonts w:hint="eastAsia" w:ascii="宋体" w:hAnsi="宋体" w:eastAsia="宋体" w:cs="宋体"/>
                <w:b/>
                <w:bCs/>
                <w:w w:val="99"/>
                <w:sz w:val="20"/>
                <w:szCs w:val="20"/>
                <w:lang w:eastAsia="zh-CN"/>
              </w:rPr>
              <w:t>（</w:t>
            </w:r>
            <w:r>
              <w:rPr>
                <w:rFonts w:hint="eastAsia" w:ascii="宋体" w:hAnsi="宋体" w:eastAsia="宋体" w:cs="宋体"/>
                <w:b/>
                <w:bCs/>
                <w:w w:val="99"/>
                <w:sz w:val="20"/>
                <w:szCs w:val="20"/>
                <w:lang w:val="en-US" w:eastAsia="zh-CN"/>
              </w:rPr>
              <w:t>有机粉尘</w:t>
            </w:r>
            <w:r>
              <w:rPr>
                <w:rFonts w:hint="eastAsia" w:ascii="宋体" w:hAnsi="宋体" w:eastAsia="宋体" w:cs="宋体"/>
                <w:b/>
                <w:bCs/>
                <w:w w:val="99"/>
                <w:sz w:val="20"/>
                <w:szCs w:val="20"/>
                <w:lang w:eastAsia="zh-CN"/>
              </w:rPr>
              <w:t>）：</w:t>
            </w:r>
          </w:p>
          <w:p w14:paraId="32E6E14D">
            <w:pPr>
              <w:keepNext w:val="0"/>
              <w:keepLines w:val="0"/>
              <w:widowControl/>
              <w:suppressLineNumbers w:val="0"/>
              <w:spacing w:line="240" w:lineRule="auto"/>
              <w:jc w:val="left"/>
              <w:rPr>
                <w:rFonts w:hint="eastAsia" w:ascii="宋体" w:hAnsi="宋体" w:eastAsia="宋体" w:cs="宋体"/>
                <w:sz w:val="22"/>
                <w:szCs w:val="22"/>
              </w:rPr>
            </w:pPr>
            <w:r>
              <w:rPr>
                <w:rFonts w:hint="eastAsia" w:ascii="宋体" w:hAnsi="宋体" w:eastAsia="宋体" w:cs="宋体"/>
                <w:sz w:val="22"/>
                <w:szCs w:val="22"/>
              </w:rPr>
              <w:t>a) 致喘物过敏和支气管哮喘；</w:t>
            </w:r>
          </w:p>
          <w:p w14:paraId="5F600B00">
            <w:pPr>
              <w:keepNext w:val="0"/>
              <w:keepLines w:val="0"/>
              <w:widowControl/>
              <w:suppressLineNumbers w:val="0"/>
              <w:spacing w:line="240" w:lineRule="auto"/>
              <w:jc w:val="left"/>
              <w:rPr>
                <w:rFonts w:hint="eastAsia" w:ascii="宋体" w:hAnsi="宋体" w:eastAsia="宋体" w:cs="宋体"/>
                <w:sz w:val="22"/>
                <w:szCs w:val="22"/>
              </w:rPr>
            </w:pPr>
            <w:r>
              <w:rPr>
                <w:rFonts w:hint="eastAsia" w:ascii="宋体" w:hAnsi="宋体" w:eastAsia="宋体" w:cs="宋体"/>
                <w:sz w:val="22"/>
                <w:szCs w:val="22"/>
              </w:rPr>
              <w:t>b) 慢性阻塞性肺疾病；</w:t>
            </w:r>
          </w:p>
          <w:p w14:paraId="59679666">
            <w:pPr>
              <w:keepNext w:val="0"/>
              <w:keepLines w:val="0"/>
              <w:widowControl/>
              <w:suppressLineNumbers w:val="0"/>
              <w:spacing w:line="240" w:lineRule="auto"/>
              <w:jc w:val="left"/>
              <w:rPr>
                <w:rFonts w:hint="eastAsia" w:ascii="宋体" w:hAnsi="宋体" w:eastAsia="宋体" w:cs="宋体"/>
                <w:sz w:val="22"/>
                <w:szCs w:val="22"/>
              </w:rPr>
            </w:pPr>
            <w:r>
              <w:rPr>
                <w:rFonts w:hint="eastAsia" w:ascii="宋体" w:hAnsi="宋体" w:eastAsia="宋体" w:cs="宋体"/>
                <w:sz w:val="22"/>
                <w:szCs w:val="22"/>
              </w:rPr>
              <w:t>c) 慢性间质性肺疾病；</w:t>
            </w:r>
          </w:p>
          <w:p w14:paraId="7072506A">
            <w:pPr>
              <w:keepNext w:val="0"/>
              <w:keepLines w:val="0"/>
              <w:widowControl/>
              <w:suppressLineNumbers w:val="0"/>
              <w:spacing w:line="240" w:lineRule="auto"/>
              <w:jc w:val="left"/>
              <w:rPr>
                <w:rFonts w:hint="eastAsia" w:ascii="宋体" w:hAnsi="宋体" w:eastAsia="宋体" w:cs="宋体"/>
                <w:sz w:val="22"/>
                <w:szCs w:val="22"/>
              </w:rPr>
            </w:pPr>
            <w:r>
              <w:rPr>
                <w:rFonts w:hint="eastAsia" w:ascii="宋体" w:hAnsi="宋体" w:eastAsia="宋体" w:cs="宋体"/>
                <w:sz w:val="22"/>
                <w:szCs w:val="22"/>
              </w:rPr>
              <w:t>d) 伴肺功能损害的疾病；</w:t>
            </w:r>
          </w:p>
          <w:p w14:paraId="55ABE2D6">
            <w:pPr>
              <w:keepNext w:val="0"/>
              <w:keepLines w:val="0"/>
              <w:widowControl/>
              <w:suppressLineNumbers w:val="0"/>
              <w:spacing w:line="240" w:lineRule="auto"/>
              <w:jc w:val="left"/>
              <w:rPr>
                <w:rFonts w:ascii="宋体" w:hAnsi="宋体" w:eastAsia="宋体" w:cs="宋体"/>
                <w:sz w:val="22"/>
                <w:szCs w:val="22"/>
              </w:rPr>
            </w:pPr>
            <w:r>
              <w:rPr>
                <w:rFonts w:hint="eastAsia" w:ascii="宋体" w:hAnsi="宋体" w:eastAsia="宋体" w:cs="宋体"/>
                <w:sz w:val="22"/>
                <w:szCs w:val="22"/>
              </w:rPr>
              <w:t>e) 伴气道高反应的过敏性鼻炎。</w:t>
            </w:r>
          </w:p>
          <w:p w14:paraId="44484C61">
            <w:pPr>
              <w:keepNext w:val="0"/>
              <w:keepLines w:val="0"/>
              <w:widowControl/>
              <w:suppressLineNumbers w:val="0"/>
              <w:spacing w:line="240" w:lineRule="auto"/>
              <w:jc w:val="left"/>
              <w:rPr>
                <w:rFonts w:ascii="宋体" w:hAnsi="宋体" w:eastAsia="宋体" w:cs="宋体"/>
                <w:sz w:val="22"/>
                <w:szCs w:val="22"/>
              </w:rPr>
            </w:pPr>
          </w:p>
          <w:p w14:paraId="2ADBDDC8">
            <w:pPr>
              <w:keepNext w:val="0"/>
              <w:keepLines w:val="0"/>
              <w:widowControl/>
              <w:suppressLineNumbers w:val="0"/>
              <w:spacing w:line="240" w:lineRule="auto"/>
              <w:jc w:val="left"/>
              <w:rPr>
                <w:rFonts w:ascii="宋体" w:hAnsi="宋体" w:eastAsia="宋体" w:cs="宋体"/>
                <w:color w:val="000000"/>
                <w:kern w:val="0"/>
                <w:sz w:val="21"/>
                <w:szCs w:val="21"/>
                <w:lang w:val="en-US" w:eastAsia="zh-CN" w:bidi="ar"/>
              </w:rPr>
            </w:pPr>
            <w:r>
              <w:rPr>
                <w:rFonts w:ascii="宋体" w:hAnsi="宋体" w:eastAsia="宋体" w:cs="宋体"/>
                <w:sz w:val="22"/>
                <w:szCs w:val="22"/>
              </w:rPr>
              <w:t xml:space="preserve"> </w:t>
            </w:r>
          </w:p>
          <w:p w14:paraId="77875812">
            <w:pPr>
              <w:keepNext w:val="0"/>
              <w:keepLines w:val="0"/>
              <w:widowControl/>
              <w:suppressLineNumbers w:val="0"/>
              <w:spacing w:line="240" w:lineRule="auto"/>
              <w:jc w:val="left"/>
              <w:rPr>
                <w:rFonts w:hint="eastAsia" w:ascii="宋体" w:hAnsi="宋体" w:eastAsia="宋体" w:cs="宋体"/>
                <w:b/>
                <w:bCs/>
                <w:color w:val="000000"/>
                <w:kern w:val="0"/>
                <w:sz w:val="21"/>
                <w:szCs w:val="21"/>
                <w:lang w:val="en-US" w:eastAsia="zh-CN" w:bidi="ar"/>
              </w:rPr>
            </w:pPr>
            <w:r>
              <w:rPr>
                <w:rFonts w:hint="eastAsia" w:ascii="宋体" w:hAnsi="宋体" w:eastAsia="宋体" w:cs="宋体"/>
                <w:b/>
                <w:bCs/>
                <w:color w:val="000000"/>
                <w:kern w:val="0"/>
                <w:sz w:val="21"/>
                <w:szCs w:val="21"/>
                <w:lang w:val="en-US" w:eastAsia="zh-CN" w:bidi="ar"/>
              </w:rPr>
              <w:t>噪声：</w:t>
            </w:r>
          </w:p>
          <w:p w14:paraId="443028F7">
            <w:pPr>
              <w:keepNext w:val="0"/>
              <w:keepLines w:val="0"/>
              <w:widowControl/>
              <w:suppressLineNumbers w:val="0"/>
              <w:spacing w:line="240" w:lineRule="auto"/>
              <w:jc w:val="left"/>
              <w:rPr>
                <w:rFonts w:hint="eastAsia" w:ascii="宋体" w:hAnsi="宋体" w:eastAsia="宋体" w:cs="宋体"/>
                <w:b w:val="0"/>
                <w:bCs w:val="0"/>
                <w:color w:val="000000"/>
                <w:kern w:val="0"/>
                <w:sz w:val="21"/>
                <w:szCs w:val="21"/>
                <w:lang w:val="en-US" w:eastAsia="zh-CN" w:bidi="ar"/>
              </w:rPr>
            </w:pPr>
            <w:r>
              <w:rPr>
                <w:rFonts w:hint="eastAsia" w:ascii="宋体" w:hAnsi="宋体" w:eastAsia="宋体" w:cs="宋体"/>
                <w:b w:val="0"/>
                <w:bCs w:val="0"/>
                <w:color w:val="000000"/>
                <w:kern w:val="0"/>
                <w:sz w:val="21"/>
                <w:szCs w:val="21"/>
                <w:lang w:val="en-US" w:eastAsia="zh-CN" w:bidi="ar"/>
              </w:rPr>
              <w:t>1) 除噪声外各种原因引起的500 Hz、1000 Hz和2000 Hz中任一频率纯音气导听阈＞25 dBHL</w:t>
            </w:r>
          </w:p>
          <w:p w14:paraId="414EA8FF">
            <w:pPr>
              <w:keepNext w:val="0"/>
              <w:keepLines w:val="0"/>
              <w:widowControl/>
              <w:suppressLineNumbers w:val="0"/>
              <w:spacing w:line="240" w:lineRule="auto"/>
              <w:jc w:val="left"/>
              <w:rPr>
                <w:rFonts w:hint="eastAsia" w:ascii="宋体" w:hAnsi="宋体" w:eastAsia="宋体" w:cs="宋体"/>
                <w:b w:val="0"/>
                <w:bCs w:val="0"/>
                <w:color w:val="000000"/>
                <w:kern w:val="0"/>
                <w:sz w:val="21"/>
                <w:szCs w:val="21"/>
                <w:lang w:val="en-US" w:eastAsia="zh-CN" w:bidi="ar"/>
              </w:rPr>
            </w:pPr>
            <w:r>
              <w:rPr>
                <w:rFonts w:hint="eastAsia" w:ascii="宋体" w:hAnsi="宋体" w:eastAsia="宋体" w:cs="宋体"/>
                <w:b w:val="0"/>
                <w:bCs w:val="0"/>
                <w:color w:val="000000"/>
                <w:kern w:val="0"/>
                <w:sz w:val="21"/>
                <w:szCs w:val="21"/>
                <w:lang w:val="en-US" w:eastAsia="zh-CN" w:bidi="ar"/>
              </w:rPr>
              <w:t>的永久性感音神经性听力损失；</w:t>
            </w:r>
          </w:p>
          <w:p w14:paraId="79E51B15">
            <w:pPr>
              <w:keepNext w:val="0"/>
              <w:keepLines w:val="0"/>
              <w:widowControl/>
              <w:suppressLineNumbers w:val="0"/>
              <w:spacing w:line="240" w:lineRule="auto"/>
              <w:jc w:val="left"/>
              <w:rPr>
                <w:rFonts w:hint="eastAsia" w:ascii="宋体" w:hAnsi="宋体" w:eastAsia="宋体" w:cs="宋体"/>
                <w:b w:val="0"/>
                <w:bCs w:val="0"/>
                <w:color w:val="000000"/>
                <w:kern w:val="0"/>
                <w:sz w:val="21"/>
                <w:szCs w:val="21"/>
                <w:lang w:val="en-US" w:eastAsia="zh-CN" w:bidi="ar"/>
              </w:rPr>
            </w:pPr>
            <w:r>
              <w:rPr>
                <w:rFonts w:hint="eastAsia" w:ascii="宋体" w:hAnsi="宋体" w:eastAsia="宋体" w:cs="宋体"/>
                <w:b w:val="0"/>
                <w:bCs w:val="0"/>
                <w:color w:val="000000"/>
                <w:kern w:val="0"/>
                <w:sz w:val="21"/>
                <w:szCs w:val="21"/>
                <w:lang w:val="en-US" w:eastAsia="zh-CN" w:bidi="ar"/>
              </w:rPr>
              <w:t>2) 任一耳传导性听力损失，语频平均听阈≥41 dBHL；</w:t>
            </w:r>
          </w:p>
          <w:p w14:paraId="472A5017">
            <w:pPr>
              <w:keepNext w:val="0"/>
              <w:keepLines w:val="0"/>
              <w:widowControl/>
              <w:suppressLineNumbers w:val="0"/>
              <w:spacing w:line="240" w:lineRule="auto"/>
              <w:jc w:val="left"/>
              <w:rPr>
                <w:rFonts w:hint="eastAsia" w:ascii="宋体" w:hAnsi="宋体" w:eastAsia="宋体" w:cs="宋体"/>
                <w:b w:val="0"/>
                <w:bCs w:val="0"/>
                <w:color w:val="000000"/>
                <w:kern w:val="0"/>
                <w:sz w:val="21"/>
                <w:szCs w:val="21"/>
                <w:lang w:val="en-US" w:eastAsia="zh-CN" w:bidi="ar"/>
              </w:rPr>
            </w:pPr>
            <w:r>
              <w:rPr>
                <w:rFonts w:hint="eastAsia" w:ascii="宋体" w:hAnsi="宋体" w:eastAsia="宋体" w:cs="宋体"/>
                <w:b w:val="0"/>
                <w:bCs w:val="0"/>
                <w:color w:val="000000"/>
                <w:kern w:val="0"/>
                <w:sz w:val="21"/>
                <w:szCs w:val="21"/>
                <w:lang w:val="en-US" w:eastAsia="zh-CN" w:bidi="ar"/>
              </w:rPr>
              <w:t>3) 噪声敏感者（上岗前职业健康体检纯音听阈测试各频率听阈均≤25 dBHL，噪声作业1年</w:t>
            </w:r>
          </w:p>
          <w:p w14:paraId="7082936D">
            <w:pPr>
              <w:keepNext w:val="0"/>
              <w:keepLines w:val="0"/>
              <w:widowControl/>
              <w:suppressLineNumbers w:val="0"/>
              <w:spacing w:line="240" w:lineRule="auto"/>
              <w:jc w:val="left"/>
              <w:rPr>
                <w:rFonts w:hint="eastAsia" w:ascii="宋体" w:hAnsi="宋体" w:eastAsia="宋体" w:cs="宋体"/>
                <w:b w:val="0"/>
                <w:bCs w:val="0"/>
                <w:color w:val="000000"/>
                <w:kern w:val="0"/>
                <w:sz w:val="21"/>
                <w:szCs w:val="21"/>
                <w:lang w:val="en-US" w:eastAsia="zh-CN" w:bidi="ar"/>
              </w:rPr>
            </w:pPr>
            <w:r>
              <w:rPr>
                <w:rFonts w:hint="eastAsia" w:ascii="宋体" w:hAnsi="宋体" w:eastAsia="宋体" w:cs="宋体"/>
                <w:b w:val="0"/>
                <w:bCs w:val="0"/>
                <w:color w:val="000000"/>
                <w:kern w:val="0"/>
                <w:sz w:val="21"/>
                <w:szCs w:val="21"/>
                <w:lang w:val="en-US" w:eastAsia="zh-CN" w:bidi="ar"/>
              </w:rPr>
              <w:t>之内，高频段3000 Hz、4000 Hz、6000 Hz中任一耳、任一频率听阈≥65 dBHL）。</w:t>
            </w:r>
          </w:p>
          <w:p w14:paraId="11CCA84D">
            <w:pPr>
              <w:keepNext w:val="0"/>
              <w:keepLines w:val="0"/>
              <w:widowControl/>
              <w:suppressLineNumbers w:val="0"/>
              <w:spacing w:line="240" w:lineRule="auto"/>
              <w:jc w:val="left"/>
              <w:rPr>
                <w:rFonts w:hint="eastAsia" w:ascii="宋体" w:hAnsi="宋体" w:eastAsia="宋体" w:cs="宋体"/>
                <w:b/>
                <w:bCs/>
                <w:color w:val="000000"/>
                <w:kern w:val="0"/>
                <w:sz w:val="21"/>
                <w:szCs w:val="21"/>
                <w:lang w:val="en-US" w:eastAsia="zh-CN" w:bidi="ar"/>
              </w:rPr>
            </w:pPr>
          </w:p>
          <w:p w14:paraId="2375232E">
            <w:pPr>
              <w:keepNext w:val="0"/>
              <w:keepLines w:val="0"/>
              <w:widowControl/>
              <w:suppressLineNumbers w:val="0"/>
              <w:spacing w:line="240" w:lineRule="auto"/>
              <w:jc w:val="left"/>
              <w:rPr>
                <w:rFonts w:hint="eastAsia" w:ascii="宋体" w:hAnsi="宋体" w:eastAsia="宋体" w:cs="宋体"/>
                <w:color w:val="000000"/>
                <w:kern w:val="0"/>
                <w:sz w:val="21"/>
                <w:szCs w:val="21"/>
                <w:lang w:val="en-US" w:eastAsia="zh-CN" w:bidi="ar"/>
              </w:rPr>
            </w:pPr>
            <w:r>
              <w:rPr>
                <w:rFonts w:hint="eastAsia" w:ascii="宋体" w:hAnsi="宋体" w:eastAsia="宋体" w:cs="宋体"/>
                <w:b/>
                <w:bCs/>
                <w:color w:val="000000"/>
                <w:kern w:val="0"/>
                <w:sz w:val="21"/>
                <w:szCs w:val="21"/>
                <w:lang w:val="en-US" w:eastAsia="zh-CN" w:bidi="ar"/>
              </w:rPr>
              <w:t>紫外辐射</w:t>
            </w:r>
            <w:r>
              <w:rPr>
                <w:rFonts w:hint="eastAsia" w:ascii="宋体" w:hAnsi="宋体" w:eastAsia="宋体" w:cs="宋体"/>
                <w:color w:val="000000"/>
                <w:kern w:val="0"/>
                <w:sz w:val="21"/>
                <w:szCs w:val="21"/>
                <w:lang w:val="en-US" w:eastAsia="zh-CN" w:bidi="ar"/>
              </w:rPr>
              <w:t>：</w:t>
            </w:r>
          </w:p>
          <w:p w14:paraId="7E7C5437">
            <w:pPr>
              <w:keepNext w:val="0"/>
              <w:keepLines w:val="0"/>
              <w:widowControl/>
              <w:suppressLineNumbers w:val="0"/>
              <w:spacing w:line="240" w:lineRule="auto"/>
              <w:jc w:val="left"/>
              <w:rPr>
                <w:rFonts w:hint="eastAsia" w:ascii="宋体" w:hAnsi="宋体" w:eastAsia="宋体" w:cs="宋体"/>
                <w:sz w:val="22"/>
                <w:szCs w:val="22"/>
              </w:rPr>
            </w:pPr>
            <w:r>
              <w:rPr>
                <w:rFonts w:ascii="宋体" w:hAnsi="宋体" w:eastAsia="宋体" w:cs="宋体"/>
                <w:sz w:val="22"/>
                <w:szCs w:val="22"/>
              </w:rPr>
              <w:t xml:space="preserve"> </w:t>
            </w:r>
            <w:r>
              <w:rPr>
                <w:rFonts w:hint="eastAsia" w:ascii="宋体" w:hAnsi="宋体" w:eastAsia="宋体" w:cs="宋体"/>
                <w:sz w:val="22"/>
                <w:szCs w:val="22"/>
              </w:rPr>
              <w:t>a) 活动性角膜疾病；</w:t>
            </w:r>
          </w:p>
          <w:p w14:paraId="3017E40F">
            <w:pPr>
              <w:keepNext w:val="0"/>
              <w:keepLines w:val="0"/>
              <w:widowControl/>
              <w:suppressLineNumbers w:val="0"/>
              <w:spacing w:line="240" w:lineRule="auto"/>
              <w:jc w:val="left"/>
              <w:rPr>
                <w:rFonts w:hint="eastAsia" w:ascii="宋体" w:hAnsi="宋体" w:eastAsia="宋体" w:cs="宋体"/>
                <w:sz w:val="22"/>
                <w:szCs w:val="22"/>
              </w:rPr>
            </w:pPr>
            <w:r>
              <w:rPr>
                <w:rFonts w:hint="eastAsia" w:ascii="宋体" w:hAnsi="宋体" w:eastAsia="宋体" w:cs="宋体"/>
                <w:sz w:val="22"/>
                <w:szCs w:val="22"/>
              </w:rPr>
              <w:t>b) 白内障；</w:t>
            </w:r>
          </w:p>
          <w:p w14:paraId="32B511C2">
            <w:pPr>
              <w:keepNext w:val="0"/>
              <w:keepLines w:val="0"/>
              <w:widowControl/>
              <w:suppressLineNumbers w:val="0"/>
              <w:spacing w:line="240" w:lineRule="auto"/>
              <w:jc w:val="left"/>
              <w:rPr>
                <w:rFonts w:hint="eastAsia" w:ascii="宋体" w:hAnsi="宋体" w:eastAsia="宋体" w:cs="宋体"/>
                <w:sz w:val="22"/>
                <w:szCs w:val="22"/>
              </w:rPr>
            </w:pPr>
            <w:r>
              <w:rPr>
                <w:rFonts w:hint="eastAsia" w:ascii="宋体" w:hAnsi="宋体" w:eastAsia="宋体" w:cs="宋体"/>
                <w:sz w:val="22"/>
                <w:szCs w:val="22"/>
              </w:rPr>
              <w:t>c) 面、手背和前臂等暴露部位严重慢性皮肤疾病；</w:t>
            </w:r>
          </w:p>
          <w:p w14:paraId="5DD26A98">
            <w:pPr>
              <w:keepNext w:val="0"/>
              <w:keepLines w:val="0"/>
              <w:widowControl/>
              <w:suppressLineNumbers w:val="0"/>
              <w:spacing w:line="240" w:lineRule="auto"/>
              <w:jc w:val="left"/>
              <w:rPr>
                <w:rFonts w:hint="default" w:ascii="宋体" w:hAnsi="宋体" w:eastAsia="宋体" w:cs="宋体"/>
                <w:kern w:val="0"/>
                <w:sz w:val="24"/>
                <w:lang w:val="en-US" w:eastAsia="zh-CN"/>
              </w:rPr>
            </w:pPr>
            <w:r>
              <w:rPr>
                <w:rFonts w:hint="eastAsia" w:ascii="宋体" w:hAnsi="宋体" w:eastAsia="宋体" w:cs="宋体"/>
                <w:sz w:val="22"/>
                <w:szCs w:val="22"/>
              </w:rPr>
              <w:t>d) 白化病。</w:t>
            </w:r>
          </w:p>
        </w:tc>
        <w:tc>
          <w:tcPr>
            <w:tcW w:w="1639" w:type="dxa"/>
            <w:noWrap w:val="0"/>
            <w:tcMar>
              <w:top w:w="0" w:type="dxa"/>
              <w:left w:w="108" w:type="dxa"/>
              <w:bottom w:w="0" w:type="dxa"/>
              <w:right w:w="108" w:type="dxa"/>
            </w:tcMar>
            <w:vAlign w:val="center"/>
          </w:tcPr>
          <w:p w14:paraId="491CA148">
            <w:pPr>
              <w:keepNext w:val="0"/>
              <w:keepLines w:val="0"/>
              <w:widowControl/>
              <w:suppressLineNumbers w:val="0"/>
              <w:jc w:val="left"/>
              <w:rPr>
                <w:rFonts w:hint="eastAsia" w:ascii="宋体" w:hAnsi="宋体" w:eastAsia="宋体" w:cs="宋体"/>
                <w:b/>
                <w:bCs/>
                <w:w w:val="99"/>
                <w:sz w:val="20"/>
                <w:szCs w:val="20"/>
                <w:lang w:eastAsia="zh-CN"/>
              </w:rPr>
            </w:pPr>
            <w:r>
              <w:rPr>
                <w:rFonts w:hint="eastAsia" w:ascii="宋体" w:hAnsi="宋体" w:eastAsia="宋体" w:cs="宋体"/>
                <w:b/>
                <w:bCs/>
                <w:w w:val="99"/>
                <w:sz w:val="20"/>
                <w:szCs w:val="20"/>
              </w:rPr>
              <w:t>木粉尘</w:t>
            </w:r>
            <w:r>
              <w:rPr>
                <w:rFonts w:hint="eastAsia" w:ascii="宋体" w:hAnsi="宋体" w:eastAsia="宋体" w:cs="宋体"/>
                <w:b/>
                <w:bCs/>
                <w:w w:val="99"/>
                <w:sz w:val="20"/>
                <w:szCs w:val="20"/>
                <w:lang w:eastAsia="zh-CN"/>
              </w:rPr>
              <w:t>（</w:t>
            </w:r>
            <w:r>
              <w:rPr>
                <w:rFonts w:hint="eastAsia" w:ascii="宋体" w:hAnsi="宋体" w:eastAsia="宋体" w:cs="宋体"/>
                <w:b/>
                <w:bCs/>
                <w:w w:val="99"/>
                <w:sz w:val="20"/>
                <w:szCs w:val="20"/>
                <w:lang w:val="en-US" w:eastAsia="zh-CN"/>
              </w:rPr>
              <w:t>有机粉尘</w:t>
            </w:r>
            <w:r>
              <w:rPr>
                <w:rFonts w:hint="eastAsia" w:ascii="宋体" w:hAnsi="宋体" w:eastAsia="宋体" w:cs="宋体"/>
                <w:b/>
                <w:bCs/>
                <w:w w:val="99"/>
                <w:sz w:val="20"/>
                <w:szCs w:val="20"/>
                <w:lang w:eastAsia="zh-CN"/>
              </w:rPr>
              <w:t>）：</w:t>
            </w:r>
          </w:p>
          <w:p w14:paraId="399613AE">
            <w:pPr>
              <w:keepNext w:val="0"/>
              <w:keepLines w:val="0"/>
              <w:widowControl/>
              <w:suppressLineNumbers w:val="0"/>
              <w:jc w:val="left"/>
              <w:rPr>
                <w:rFonts w:hint="eastAsia" w:ascii="宋体" w:hAnsi="宋体" w:eastAsia="宋体" w:cs="宋体"/>
                <w:b w:val="0"/>
                <w:bCs w:val="0"/>
                <w:w w:val="99"/>
                <w:sz w:val="20"/>
                <w:szCs w:val="20"/>
                <w:lang w:val="en-US" w:eastAsia="zh-CN"/>
              </w:rPr>
            </w:pPr>
            <w:r>
              <w:rPr>
                <w:rFonts w:hint="eastAsia" w:ascii="宋体" w:hAnsi="宋体" w:eastAsia="宋体" w:cs="宋体"/>
                <w:b w:val="0"/>
                <w:bCs w:val="0"/>
                <w:w w:val="99"/>
                <w:sz w:val="20"/>
                <w:szCs w:val="20"/>
                <w:lang w:val="en-US" w:eastAsia="zh-CN"/>
              </w:rPr>
              <w:t>1) 职业性哮喘（按GBZ 57）；</w:t>
            </w:r>
          </w:p>
          <w:p w14:paraId="7B3295C8">
            <w:pPr>
              <w:keepNext w:val="0"/>
              <w:keepLines w:val="0"/>
              <w:widowControl/>
              <w:suppressLineNumbers w:val="0"/>
              <w:jc w:val="left"/>
              <w:rPr>
                <w:rFonts w:hint="eastAsia" w:ascii="宋体" w:hAnsi="宋体" w:eastAsia="宋体" w:cs="宋体"/>
                <w:b w:val="0"/>
                <w:bCs w:val="0"/>
                <w:w w:val="99"/>
                <w:sz w:val="20"/>
                <w:szCs w:val="20"/>
                <w:lang w:val="en-US" w:eastAsia="zh-CN"/>
              </w:rPr>
            </w:pPr>
            <w:r>
              <w:rPr>
                <w:rFonts w:hint="eastAsia" w:ascii="宋体" w:hAnsi="宋体" w:eastAsia="宋体" w:cs="宋体"/>
                <w:b w:val="0"/>
                <w:bCs w:val="0"/>
                <w:w w:val="99"/>
                <w:sz w:val="20"/>
                <w:szCs w:val="20"/>
                <w:lang w:val="en-US" w:eastAsia="zh-CN"/>
              </w:rPr>
              <w:t>2) 职业性过敏性肺炎（按GBZ 60）。</w:t>
            </w:r>
          </w:p>
          <w:p w14:paraId="5FB1BD0E">
            <w:pPr>
              <w:keepNext w:val="0"/>
              <w:keepLines w:val="0"/>
              <w:widowControl/>
              <w:suppressLineNumbers w:val="0"/>
              <w:jc w:val="left"/>
              <w:rPr>
                <w:rFonts w:hint="eastAsia" w:ascii="宋体" w:hAnsi="宋体" w:eastAsia="宋体" w:cs="宋体"/>
                <w:b/>
                <w:bCs/>
                <w:w w:val="99"/>
                <w:sz w:val="20"/>
                <w:szCs w:val="20"/>
                <w:lang w:val="en-US" w:eastAsia="zh-CN"/>
              </w:rPr>
            </w:pPr>
          </w:p>
          <w:p w14:paraId="3EFC84A5">
            <w:pPr>
              <w:keepNext w:val="0"/>
              <w:keepLines w:val="0"/>
              <w:widowControl/>
              <w:suppressLineNumbers w:val="0"/>
              <w:jc w:val="left"/>
              <w:rPr>
                <w:rFonts w:hint="eastAsia" w:ascii="宋体" w:hAnsi="宋体" w:eastAsia="宋体" w:cs="宋体"/>
                <w:b/>
                <w:bCs/>
                <w:w w:val="99"/>
                <w:sz w:val="20"/>
                <w:szCs w:val="20"/>
                <w:lang w:val="en-US" w:eastAsia="zh-CN"/>
              </w:rPr>
            </w:pPr>
          </w:p>
          <w:p w14:paraId="700AECA2">
            <w:pPr>
              <w:keepNext w:val="0"/>
              <w:keepLines w:val="0"/>
              <w:widowControl/>
              <w:suppressLineNumbers w:val="0"/>
              <w:jc w:val="left"/>
              <w:rPr>
                <w:rFonts w:hint="eastAsia" w:ascii="宋体" w:hAnsi="宋体" w:eastAsia="宋体" w:cs="宋体"/>
                <w:b/>
                <w:bCs/>
                <w:w w:val="99"/>
                <w:sz w:val="20"/>
                <w:szCs w:val="20"/>
                <w:lang w:val="en-US" w:eastAsia="zh-CN"/>
              </w:rPr>
            </w:pPr>
          </w:p>
          <w:p w14:paraId="417F516A">
            <w:pPr>
              <w:keepNext w:val="0"/>
              <w:keepLines w:val="0"/>
              <w:widowControl/>
              <w:suppressLineNumbers w:val="0"/>
              <w:jc w:val="left"/>
              <w:rPr>
                <w:rFonts w:hint="eastAsia" w:ascii="宋体" w:hAnsi="宋体" w:eastAsia="宋体" w:cs="宋体"/>
                <w:b/>
                <w:bCs/>
                <w:w w:val="99"/>
                <w:sz w:val="20"/>
                <w:szCs w:val="20"/>
                <w:lang w:val="en-US" w:eastAsia="zh-CN"/>
              </w:rPr>
            </w:pPr>
          </w:p>
          <w:p w14:paraId="072D0C00">
            <w:pPr>
              <w:widowControl/>
              <w:spacing w:line="375" w:lineRule="atLeast"/>
              <w:jc w:val="left"/>
              <w:rPr>
                <w:rFonts w:hint="eastAsia" w:ascii="宋体" w:hAnsi="宋体" w:cs="宋体"/>
                <w:b/>
                <w:bCs/>
                <w:kern w:val="0"/>
                <w:sz w:val="21"/>
                <w:szCs w:val="21"/>
                <w:lang w:val="en-US" w:eastAsia="zh-CN"/>
              </w:rPr>
            </w:pPr>
            <w:r>
              <w:rPr>
                <w:rFonts w:hint="eastAsia" w:ascii="宋体" w:hAnsi="宋体" w:cs="宋体"/>
                <w:b/>
                <w:bCs/>
                <w:kern w:val="0"/>
                <w:sz w:val="21"/>
                <w:szCs w:val="21"/>
                <w:lang w:val="en-US" w:eastAsia="zh-CN"/>
              </w:rPr>
              <w:t>噪声：</w:t>
            </w:r>
          </w:p>
          <w:p w14:paraId="7B55AD8B">
            <w:pPr>
              <w:widowControl/>
              <w:spacing w:line="375" w:lineRule="atLeast"/>
              <w:jc w:val="left"/>
              <w:rPr>
                <w:rFonts w:ascii="宋体" w:hAnsi="宋体" w:eastAsia="宋体" w:cs="宋体"/>
                <w:sz w:val="22"/>
                <w:szCs w:val="22"/>
              </w:rPr>
            </w:pPr>
            <w:r>
              <w:rPr>
                <w:rFonts w:ascii="宋体" w:hAnsi="宋体" w:eastAsia="宋体" w:cs="宋体"/>
                <w:sz w:val="22"/>
                <w:szCs w:val="22"/>
              </w:rPr>
              <w:t xml:space="preserve">职业性噪声聋 </w:t>
            </w:r>
            <w:r>
              <w:rPr>
                <w:rFonts w:ascii="TimesNewRomanPSMT" w:hAnsi="TimesNewRomanPSMT" w:eastAsia="TimesNewRomanPSMT" w:cs="TimesNewRomanPSMT"/>
                <w:sz w:val="22"/>
                <w:szCs w:val="22"/>
              </w:rPr>
              <w:t>(</w:t>
            </w:r>
            <w:r>
              <w:rPr>
                <w:rFonts w:ascii="宋体" w:hAnsi="宋体" w:eastAsia="宋体" w:cs="宋体"/>
                <w:sz w:val="22"/>
                <w:szCs w:val="22"/>
              </w:rPr>
              <w:t xml:space="preserve">见 </w:t>
            </w:r>
            <w:r>
              <w:rPr>
                <w:rFonts w:hint="default" w:ascii="TimesNewRomanPSMT" w:hAnsi="TimesNewRomanPSMT" w:eastAsia="TimesNewRomanPSMT" w:cs="TimesNewRomanPSMT"/>
                <w:sz w:val="22"/>
                <w:szCs w:val="22"/>
              </w:rPr>
              <w:t>GBZ 49)</w:t>
            </w:r>
            <w:r>
              <w:rPr>
                <w:rFonts w:ascii="宋体" w:hAnsi="宋体" w:eastAsia="宋体" w:cs="宋体"/>
                <w:sz w:val="22"/>
                <w:szCs w:val="22"/>
              </w:rPr>
              <w:t>。</w:t>
            </w:r>
          </w:p>
          <w:p w14:paraId="2120E2C6">
            <w:pPr>
              <w:widowControl/>
              <w:spacing w:line="375" w:lineRule="atLeast"/>
              <w:jc w:val="left"/>
            </w:pPr>
            <w:r>
              <w:rPr>
                <w:rFonts w:ascii="宋体" w:hAnsi="宋体" w:eastAsia="宋体" w:cs="宋体"/>
                <w:sz w:val="22"/>
                <w:szCs w:val="22"/>
              </w:rPr>
              <w:t xml:space="preserve"> </w:t>
            </w:r>
          </w:p>
          <w:p w14:paraId="587B8974">
            <w:pPr>
              <w:widowControl/>
              <w:spacing w:line="375" w:lineRule="atLeast"/>
              <w:jc w:val="left"/>
              <w:rPr>
                <w:rFonts w:hint="eastAsia" w:ascii="宋体" w:hAnsi="宋体" w:cs="宋体"/>
                <w:b/>
                <w:bCs/>
                <w:kern w:val="0"/>
                <w:sz w:val="21"/>
                <w:szCs w:val="21"/>
                <w:lang w:val="en-US" w:eastAsia="zh-CN"/>
              </w:rPr>
            </w:pPr>
            <w:r>
              <w:rPr>
                <w:rFonts w:hint="eastAsia" w:ascii="宋体" w:hAnsi="宋体" w:cs="宋体"/>
                <w:b/>
                <w:bCs/>
                <w:kern w:val="0"/>
                <w:sz w:val="21"/>
                <w:szCs w:val="21"/>
                <w:lang w:val="en-US" w:eastAsia="zh-CN"/>
              </w:rPr>
              <w:t>紫外辐射：</w:t>
            </w:r>
          </w:p>
          <w:p w14:paraId="2E34E3B5">
            <w:pPr>
              <w:widowControl/>
              <w:numPr>
                <w:ilvl w:val="0"/>
                <w:numId w:val="0"/>
              </w:numPr>
              <w:spacing w:line="375" w:lineRule="atLeast"/>
              <w:jc w:val="left"/>
              <w:rPr>
                <w:rFonts w:hint="default" w:ascii="Times New Roman Bold" w:hAnsi="Times New Roman Bold" w:eastAsia="TimesNewRomanPSMT" w:cs="Times New Roman Bold"/>
                <w:b w:val="0"/>
                <w:bCs w:val="0"/>
                <w:sz w:val="22"/>
                <w:szCs w:val="22"/>
                <w:lang w:val="en-US" w:eastAsia="zh-CN"/>
              </w:rPr>
            </w:pPr>
            <w:r>
              <w:rPr>
                <w:rFonts w:hint="default" w:ascii="Times New Roman Bold" w:hAnsi="Times New Roman Bold" w:eastAsia="TimesNewRomanPSMT" w:cs="Times New Roman Bold"/>
                <w:b w:val="0"/>
                <w:bCs w:val="0"/>
                <w:sz w:val="22"/>
                <w:szCs w:val="22"/>
                <w:lang w:val="en-US" w:eastAsia="zh-CN"/>
              </w:rPr>
              <w:t>职业病：职业性白内障（按GBZ 35）。</w:t>
            </w:r>
          </w:p>
          <w:p w14:paraId="21A7B38A">
            <w:pPr>
              <w:widowControl/>
              <w:numPr>
                <w:ilvl w:val="0"/>
                <w:numId w:val="0"/>
              </w:numPr>
              <w:spacing w:line="375" w:lineRule="atLeast"/>
              <w:jc w:val="left"/>
              <w:rPr>
                <w:rFonts w:hint="default" w:ascii="TimesNewRomanPSMT" w:hAnsi="TimesNewRomanPSMT" w:eastAsia="TimesNewRomanPSMT" w:cs="TimesNewRomanPSMT"/>
                <w:sz w:val="22"/>
                <w:szCs w:val="22"/>
                <w:lang w:val="en-US" w:eastAsia="zh-CN"/>
              </w:rPr>
            </w:pPr>
          </w:p>
          <w:p w14:paraId="0B3F77F1">
            <w:pPr>
              <w:widowControl/>
              <w:numPr>
                <w:ilvl w:val="0"/>
                <w:numId w:val="0"/>
              </w:numPr>
              <w:spacing w:line="375" w:lineRule="atLeast"/>
              <w:jc w:val="left"/>
              <w:rPr>
                <w:rFonts w:hint="default" w:ascii="TimesNewRomanPSMT" w:hAnsi="TimesNewRomanPSMT" w:eastAsia="TimesNewRomanPSMT" w:cs="TimesNewRomanPSMT"/>
                <w:sz w:val="22"/>
                <w:szCs w:val="22"/>
                <w:lang w:val="en-US" w:eastAsia="zh-CN"/>
              </w:rPr>
            </w:pPr>
          </w:p>
          <w:p w14:paraId="555E0757">
            <w:pPr>
              <w:widowControl/>
              <w:spacing w:line="375" w:lineRule="atLeast"/>
              <w:jc w:val="left"/>
              <w:rPr>
                <w:rFonts w:hint="default" w:ascii="宋体" w:hAnsi="宋体" w:cs="宋体"/>
                <w:kern w:val="0"/>
                <w:sz w:val="21"/>
                <w:szCs w:val="21"/>
                <w:lang w:val="en-US" w:eastAsia="zh-CN"/>
              </w:rPr>
            </w:pPr>
            <w:r>
              <w:rPr>
                <w:rFonts w:hint="eastAsia" w:ascii="宋体" w:hAnsi="宋体" w:cs="宋体"/>
                <w:kern w:val="0"/>
                <w:sz w:val="21"/>
                <w:szCs w:val="21"/>
                <w:lang w:val="en-US" w:eastAsia="zh-CN"/>
              </w:rPr>
              <w:t>除上述外，</w:t>
            </w:r>
          </w:p>
          <w:p w14:paraId="7E3463FB">
            <w:pPr>
              <w:widowControl/>
              <w:spacing w:line="375" w:lineRule="atLeast"/>
              <w:jc w:val="left"/>
              <w:rPr>
                <w:rFonts w:hint="default" w:ascii="宋体" w:hAnsi="宋体" w:cs="宋体"/>
                <w:kern w:val="0"/>
                <w:sz w:val="24"/>
                <w:lang w:val="en-US" w:eastAsia="zh-CN"/>
              </w:rPr>
            </w:pPr>
            <w:r>
              <w:rPr>
                <w:rFonts w:hint="eastAsia" w:ascii="宋体" w:hAnsi="宋体" w:cs="宋体"/>
                <w:kern w:val="0"/>
                <w:sz w:val="21"/>
                <w:szCs w:val="21"/>
                <w:lang w:val="en-US" w:eastAsia="zh-CN"/>
              </w:rPr>
              <w:t>GBZ188-2025对职业健康检查目标疾病（职业病）未做说明</w:t>
            </w:r>
          </w:p>
        </w:tc>
        <w:tc>
          <w:tcPr>
            <w:tcW w:w="1402" w:type="dxa"/>
            <w:noWrap w:val="0"/>
            <w:tcMar>
              <w:top w:w="0" w:type="dxa"/>
              <w:left w:w="108" w:type="dxa"/>
              <w:bottom w:w="0" w:type="dxa"/>
              <w:right w:w="108" w:type="dxa"/>
            </w:tcMar>
            <w:vAlign w:val="center"/>
          </w:tcPr>
          <w:p w14:paraId="010C507B">
            <w:pPr>
              <w:widowControl/>
              <w:spacing w:line="375" w:lineRule="atLeast"/>
              <w:jc w:val="left"/>
              <w:rPr>
                <w:rFonts w:hint="default" w:ascii="宋体" w:hAnsi="宋体" w:cs="宋体"/>
                <w:color w:val="000000"/>
                <w:kern w:val="0"/>
                <w:sz w:val="24"/>
                <w:lang w:val="en-US" w:eastAsia="zh-CN"/>
              </w:rPr>
            </w:pPr>
            <w:r>
              <w:rPr>
                <w:rFonts w:hint="eastAsia" w:ascii="宋体" w:hAnsi="宋体" w:eastAsia="宋体" w:cs="宋体"/>
                <w:b w:val="0"/>
                <w:bCs w:val="0"/>
                <w:kern w:val="0"/>
                <w:sz w:val="21"/>
                <w:szCs w:val="21"/>
                <w:lang w:val="en-US" w:eastAsia="zh-CN"/>
              </w:rPr>
              <w:t>除尘装置、工作服、安全鞋、防毒口罩、防护眼镜、防护手套、防护耳塞</w:t>
            </w:r>
          </w:p>
        </w:tc>
      </w:tr>
    </w:tbl>
    <w:p w14:paraId="5AFBF614">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二）甲方应依照《职业病防治法》及《职业健康监护技术规范》（GBZ188）的要求，做好乙方上岗前、在岗期间、离岗时的职业健康检查和应急检查。一旦发生职业病，甲方必须按照国家有关法律、法规的要求，为乙方如实提供职业病诊断、鉴定所需的劳动者职业史和职业病危害接触史、工作场所职业病危害因素检测结果等资料及相应待遇。</w:t>
      </w:r>
    </w:p>
    <w:p w14:paraId="398394E4">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三）乙方应自觉遵守甲方的职业卫生管理制度和操作规程，正确使用维护职业病防护设施和个人职业病防护用品，积极参加职业卫生知识培训，按要求参加上岗前、在岗期间和离岗时的职业健康检查。若被检查出职业禁忌证或发现与所从事的职业相关的健康损害的，必须服从甲方为保护乙方职业健康而调离原岗位并妥善安置的工作安排。</w:t>
      </w:r>
    </w:p>
    <w:p w14:paraId="3D271606">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（四）当乙方工作岗位或者工作内容发生变更，从事告知书中未告知的存在职业病危害的作业时，甲方应与其协商变更告知书相关内容，重新签订职业病危害告知书。</w:t>
      </w:r>
    </w:p>
    <w:p w14:paraId="6568F1CA">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（五）甲方未履行职业病危害告知义务，乙方有权拒绝从事存在职业病危害的作业，甲方不得因此解除与乙方所订立的劳动合同。</w:t>
      </w:r>
    </w:p>
    <w:p w14:paraId="5E2EB5DD">
      <w:pPr>
        <w:widowControl/>
        <w:spacing w:line="375" w:lineRule="atLeast"/>
        <w:ind w:firstLine="662"/>
        <w:jc w:val="left"/>
        <w:rPr>
          <w:rFonts w:hint="eastAsia" w:ascii="宋体" w:hAnsi="宋体" w:cs="宋体"/>
          <w:color w:val="000000"/>
          <w:kern w:val="0"/>
          <w:sz w:val="24"/>
        </w:rPr>
      </w:pPr>
      <w:r>
        <w:rPr>
          <w:rFonts w:ascii="宋体" w:hAnsi="宋体" w:cs="宋体"/>
          <w:color w:val="000000"/>
          <w:kern w:val="0"/>
          <w:sz w:val="24"/>
        </w:rPr>
        <w:t>（六）职业病危害告知书作为甲方与乙方签订劳动合同的附件，具有同等的法律效力。</w:t>
      </w:r>
    </w:p>
    <w:p w14:paraId="30546EC4">
      <w:pPr>
        <w:widowControl/>
        <w:spacing w:line="375" w:lineRule="atLeast"/>
        <w:ind w:firstLine="662"/>
        <w:jc w:val="left"/>
        <w:rPr>
          <w:rFonts w:hint="eastAsia" w:ascii="宋体" w:hAnsi="宋体" w:cs="宋体"/>
          <w:color w:val="000000"/>
          <w:kern w:val="0"/>
          <w:sz w:val="27"/>
          <w:szCs w:val="27"/>
        </w:rPr>
      </w:pPr>
    </w:p>
    <w:p w14:paraId="45C3BAB2">
      <w:pPr>
        <w:widowControl/>
        <w:spacing w:line="375" w:lineRule="atLeast"/>
        <w:ind w:firstLine="662"/>
        <w:jc w:val="left"/>
        <w:rPr>
          <w:rFonts w:hint="eastAsia" w:ascii="宋体" w:hAnsi="宋体" w:eastAsia="宋体" w:cs="宋体"/>
          <w:color w:val="000000"/>
          <w:kern w:val="0"/>
          <w:sz w:val="27"/>
          <w:szCs w:val="27"/>
          <w:lang w:val="en-US" w:eastAsia="zh-CN"/>
        </w:rPr>
      </w:pPr>
      <w:r>
        <w:rPr>
          <w:rFonts w:ascii="宋体" w:hAnsi="宋体" w:cs="宋体"/>
          <w:color w:val="000000"/>
          <w:kern w:val="0"/>
          <w:sz w:val="24"/>
        </w:rPr>
        <w:t>甲方（签章）                     </w:t>
      </w:r>
      <w:r>
        <w:rPr>
          <w:rFonts w:hint="eastAsia" w:ascii="宋体" w:hAnsi="宋体" w:cs="宋体"/>
          <w:color w:val="000000"/>
          <w:kern w:val="0"/>
          <w:sz w:val="24"/>
          <w:lang w:val="en-US" w:eastAsia="zh-CN"/>
        </w:rPr>
        <w:t xml:space="preserve">           </w:t>
      </w:r>
      <w:r>
        <w:rPr>
          <w:rFonts w:ascii="宋体" w:hAnsi="宋体" w:cs="宋体"/>
          <w:color w:val="000000"/>
          <w:kern w:val="0"/>
          <w:sz w:val="24"/>
        </w:rPr>
        <w:t>  乙方（签字</w:t>
      </w:r>
      <w:r>
        <w:rPr>
          <w:rFonts w:hint="eastAsia" w:ascii="宋体" w:hAnsi="宋体" w:cs="宋体"/>
          <w:color w:val="000000"/>
          <w:kern w:val="0"/>
          <w:sz w:val="24"/>
          <w:lang w:eastAsia="zh-CN"/>
        </w:rPr>
        <w:t>）</w:t>
      </w:r>
    </w:p>
    <w:p w14:paraId="540E0406">
      <w:pPr>
        <w:widowControl/>
        <w:spacing w:line="375" w:lineRule="atLeast"/>
        <w:ind w:firstLine="662"/>
        <w:jc w:val="left"/>
        <w:rPr>
          <w:rFonts w:hint="eastAsia"/>
        </w:rPr>
      </w:pPr>
      <w:r>
        <w:rPr>
          <w:rFonts w:ascii="宋体" w:hAnsi="宋体" w:cs="宋体"/>
          <w:color w:val="000000"/>
          <w:kern w:val="0"/>
          <w:sz w:val="24"/>
        </w:rPr>
        <w:t> 年  月   日                 </w:t>
      </w:r>
      <w:r>
        <w:rPr>
          <w:rFonts w:hint="eastAsia" w:ascii="宋体" w:hAnsi="宋体" w:cs="宋体"/>
          <w:color w:val="000000"/>
          <w:kern w:val="0"/>
          <w:sz w:val="24"/>
          <w:lang w:val="en-US" w:eastAsia="zh-CN"/>
        </w:rPr>
        <w:t xml:space="preserve">       </w:t>
      </w:r>
      <w:r>
        <w:rPr>
          <w:rFonts w:ascii="宋体" w:hAnsi="宋体" w:cs="宋体"/>
          <w:color w:val="000000"/>
          <w:kern w:val="0"/>
          <w:sz w:val="24"/>
        </w:rPr>
        <w:t> </w:t>
      </w:r>
      <w:r>
        <w:rPr>
          <w:rFonts w:hint="eastAsia" w:ascii="宋体" w:hAnsi="宋体" w:cs="宋体"/>
          <w:color w:val="000000"/>
          <w:kern w:val="0"/>
          <w:sz w:val="24"/>
          <w:lang w:val="en-US" w:eastAsia="zh-CN"/>
        </w:rPr>
        <w:t xml:space="preserve">       </w:t>
      </w:r>
      <w:r>
        <w:rPr>
          <w:rFonts w:ascii="宋体" w:hAnsi="宋体" w:cs="宋体"/>
          <w:color w:val="000000"/>
          <w:kern w:val="0"/>
          <w:sz w:val="24"/>
        </w:rPr>
        <w:t>  </w:t>
      </w:r>
      <w:r>
        <w:rPr>
          <w:rFonts w:hint="eastAsia" w:ascii="宋体" w:hAnsi="宋体" w:cs="宋体"/>
          <w:color w:val="000000"/>
          <w:kern w:val="0"/>
          <w:sz w:val="24"/>
          <w:lang w:val="en-US" w:eastAsia="zh-CN"/>
        </w:rPr>
        <w:t xml:space="preserve"> </w:t>
      </w:r>
      <w:r>
        <w:rPr>
          <w:rFonts w:ascii="宋体" w:hAnsi="宋体" w:cs="宋体"/>
          <w:color w:val="000000"/>
          <w:kern w:val="0"/>
          <w:sz w:val="24"/>
        </w:rPr>
        <w:t>  年  月  日</w:t>
      </w:r>
    </w:p>
    <w:sectPr>
      <w:pgSz w:w="11906" w:h="16838"/>
      <w:pgMar w:top="1440" w:right="1800" w:bottom="1440" w:left="1800"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TimesNewRomanPSMT">
    <w:panose1 w:val="02020603050405020304"/>
    <w:charset w:val="00"/>
    <w:family w:val="auto"/>
    <w:pitch w:val="default"/>
    <w:sig w:usb0="E0002AEF" w:usb1="C0007841" w:usb2="00000009" w:usb3="00000000" w:csb0="400001FF" w:csb1="FFFF0000"/>
  </w:font>
  <w:font w:name="Times New Roman Bold">
    <w:panose1 w:val="02020603050405020304"/>
    <w:charset w:val="00"/>
    <w:family w:val="auto"/>
    <w:pitch w:val="default"/>
    <w:sig w:usb0="E0002AEF" w:usb1="C0007841" w:usb2="00000009" w:usb3="00000000" w:csb0="400001FF" w:csb1="FFFF0000"/>
  </w:font>
  <w:font w:name="汉仪书宋二KW">
    <w:panose1 w:val="00020600040101010101"/>
    <w:charset w:val="86"/>
    <w:family w:val="auto"/>
    <w:pitch w:val="default"/>
    <w:sig w:usb0="A00002BF" w:usb1="18EF7CFA" w:usb2="00000016" w:usb3="00000000" w:csb0="00040000" w:csb1="00000000"/>
  </w:font>
  <w:font w:name="宋体-简">
    <w:panose1 w:val="02010800040101010101"/>
    <w:charset w:val="86"/>
    <w:family w:val="auto"/>
    <w:pitch w:val="default"/>
    <w:sig w:usb0="00000001" w:usb1="080F0000" w:usb2="00000000"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6E2FFE"/>
    <w:multiLevelType w:val="singleLevel"/>
    <w:tmpl w:val="FF6E2FFE"/>
    <w:lvl w:ilvl="0" w:tentative="0">
      <w:start w:val="1"/>
      <w:numFmt w:val="chineseCounting"/>
      <w:suff w:val="nothing"/>
      <w:lvlText w:val="（%1）"/>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9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B7C03"/>
    <w:rsid w:val="00AB7C03"/>
    <w:rsid w:val="17371B21"/>
    <w:rsid w:val="1ADED7F1"/>
    <w:rsid w:val="1D7F4B10"/>
    <w:rsid w:val="273597F4"/>
    <w:rsid w:val="34FE1408"/>
    <w:rsid w:val="3BBEDB76"/>
    <w:rsid w:val="3FD78EA2"/>
    <w:rsid w:val="5DBF55FB"/>
    <w:rsid w:val="60B747CB"/>
    <w:rsid w:val="66FDC9A8"/>
    <w:rsid w:val="676EBB67"/>
    <w:rsid w:val="6DDFC513"/>
    <w:rsid w:val="6FBF123D"/>
    <w:rsid w:val="6FDB1E87"/>
    <w:rsid w:val="72FD7DA7"/>
    <w:rsid w:val="76AF857F"/>
    <w:rsid w:val="77A7BC25"/>
    <w:rsid w:val="77F7C408"/>
    <w:rsid w:val="7AEE1F14"/>
    <w:rsid w:val="7AFFE4FF"/>
    <w:rsid w:val="7BF3B793"/>
    <w:rsid w:val="7D76F257"/>
    <w:rsid w:val="7FBFE1E3"/>
    <w:rsid w:val="91E454B6"/>
    <w:rsid w:val="9FEF1E75"/>
    <w:rsid w:val="9FFED6C3"/>
    <w:rsid w:val="AFFF5A5D"/>
    <w:rsid w:val="BBBAC183"/>
    <w:rsid w:val="BFBBE488"/>
    <w:rsid w:val="CFFA3EBC"/>
    <w:rsid w:val="DB9D1FB9"/>
    <w:rsid w:val="E95D82E5"/>
    <w:rsid w:val="EA7F6D7F"/>
    <w:rsid w:val="EE9E2F16"/>
    <w:rsid w:val="F365EA70"/>
    <w:rsid w:val="F6BE480B"/>
    <w:rsid w:val="F757B0E5"/>
    <w:rsid w:val="FAFED9D7"/>
    <w:rsid w:val="FB37A67B"/>
    <w:rsid w:val="FE7E6F71"/>
    <w:rsid w:val="FEB7016D"/>
    <w:rsid w:val="FEFFD999"/>
    <w:rsid w:val="FF27D166"/>
    <w:rsid w:val="FFDD3BA1"/>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unhideWhenUsed="0" w:uiPriority="0" w:semiHidden="0" w:name="heading 7"/>
    <w:lsdException w:unhideWhenUsed="0" w:uiPriority="0" w:semiHidden="0" w:name="heading 8"/>
    <w:lsdException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widowControl w:val="0"/>
      <w:jc w:val="both"/>
    </w:pPr>
    <w:rPr>
      <w:kern w:val="2"/>
      <w:sz w:val="21"/>
      <w:szCs w:val="24"/>
      <w:lang w:val="en-US" w:eastAsia="zh-CN" w:bidi="ar-SA"/>
    </w:rPr>
  </w:style>
  <w:style w:type="character" w:default="1" w:styleId="4">
    <w:name w:val="Default Paragraph Font"/>
    <w:semiHidden/>
    <w:uiPriority w:val="0"/>
  </w:style>
  <w:style w:type="table" w:default="1" w:styleId="3">
    <w:name w:val="Normal Table"/>
    <w:semiHidden/>
    <w:uiPriority w:val="0"/>
    <w:tblPr>
      <w:tblStyle w:val="3"/>
      <w:tblCellMar>
        <w:top w:w="0" w:type="dxa"/>
        <w:left w:w="108" w:type="dxa"/>
        <w:bottom w:w="0" w:type="dxa"/>
        <w:right w:w="108" w:type="dxa"/>
      </w:tblCellMar>
    </w:tblPr>
  </w:style>
  <w:style w:type="paragraph" w:styleId="2">
    <w:name w:val="Normal (Web)"/>
    <w:basedOn w:val="1"/>
    <w:uiPriority w:val="0"/>
    <w:pPr>
      <w:spacing w:before="100" w:beforeAutospacing="1" w:after="100" w:afterAutospacing="1"/>
      <w:ind w:left="0" w:right="0"/>
      <w:jc w:val="left"/>
    </w:pPr>
    <w:rPr>
      <w:kern w:val="0"/>
      <w:sz w:val="24"/>
      <w:lang w:val="en-US" w:eastAsia="zh-CN" w:bidi="ar"/>
    </w:rPr>
  </w:style>
  <w:style w:type="character" w:styleId="5">
    <w:name w:val="Strong"/>
    <w:basedOn w:val="4"/>
    <w:uiPriority w:val="0"/>
    <w:rPr>
      <w:b/>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Template>
  <Company>MC SYSTEM</Company>
  <Pages>2</Pages>
  <Words>118</Words>
  <Characters>678</Characters>
  <Lines>5</Lines>
  <Paragraphs>1</Paragraphs>
  <TotalTime>13</TotalTime>
  <ScaleCrop>false</ScaleCrop>
  <LinksUpToDate>false</LinksUpToDate>
  <CharactersWithSpaces>795</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2014-11-26T01:29:00Z</dcterms:created>
  <dc:creator>周秀玲</dc:creator>
  <cp:lastModifiedBy>陈野菲</cp:lastModifiedBy>
  <dcterms:modified xsi:type="dcterms:W3CDTF">2026-09-21T15:23:06Z</dcterms:modified>
  <dc:title>附件1</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9D0C7F01472E16D95ADBB06A0EC3D206_43</vt:lpwstr>
  </property>
</Properties>
</file>