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018DE" w14:textId="77777777" w:rsidR="0037699D" w:rsidRDefault="0037699D" w:rsidP="00577380">
      <w:commentRangeStart w:id="0"/>
      <w:r>
        <w:t>Spatiotemporal patterns and</w:t>
      </w:r>
      <w:r>
        <w:rPr>
          <w:rFonts w:hint="eastAsia"/>
        </w:rPr>
        <w:t xml:space="preserve"> </w:t>
      </w:r>
      <w:r>
        <w:t>environmental drivers of macrofauna and sediment community oxygen consumption of the Gaoping Continental Shelf off southern Taiwan</w:t>
      </w:r>
      <w:commentRangeEnd w:id="0"/>
      <w:r w:rsidR="00991FAB">
        <w:rPr>
          <w:rStyle w:val="a4"/>
        </w:rPr>
        <w:commentReference w:id="0"/>
      </w:r>
    </w:p>
    <w:p w14:paraId="6566BF55" w14:textId="778BC6B8" w:rsidR="0037699D" w:rsidRDefault="0037699D" w:rsidP="00577380">
      <w:pPr>
        <w:rPr>
          <w:vertAlign w:val="superscript"/>
        </w:rPr>
      </w:pPr>
      <w:r>
        <w:t xml:space="preserve">Authors: Yen-Ting </w:t>
      </w:r>
      <w:proofErr w:type="spellStart"/>
      <w:proofErr w:type="gramStart"/>
      <w:r>
        <w:t>Chen</w:t>
      </w:r>
      <w:r w:rsidR="0019104F" w:rsidRPr="0019104F">
        <w:rPr>
          <w:vertAlign w:val="superscript"/>
        </w:rPr>
        <w:t>a</w:t>
      </w:r>
      <w:r w:rsidR="0019104F">
        <w:rPr>
          <w:vertAlign w:val="superscript"/>
        </w:rPr>
        <w:t>,</w:t>
      </w:r>
      <w:r w:rsidR="0019104F" w:rsidRPr="0019104F">
        <w:rPr>
          <w:vertAlign w:val="superscript"/>
        </w:rPr>
        <w:t>b</w:t>
      </w:r>
      <w:proofErr w:type="spellEnd"/>
      <w:proofErr w:type="gramEnd"/>
      <w:r>
        <w:t xml:space="preserve"> (</w:t>
      </w:r>
      <w:r>
        <w:rPr>
          <w:rFonts w:hint="eastAsia"/>
        </w:rPr>
        <w:t>陳彥廷</w:t>
      </w:r>
      <w:r>
        <w:t xml:space="preserve">), </w:t>
      </w:r>
      <w:proofErr w:type="spellStart"/>
      <w:r>
        <w:t>Chih</w:t>
      </w:r>
      <w:proofErr w:type="spellEnd"/>
      <w:r>
        <w:t xml:space="preserve">-Lin </w:t>
      </w:r>
      <w:proofErr w:type="spellStart"/>
      <w:r>
        <w:t>Wei</w:t>
      </w:r>
      <w:r w:rsidR="0019104F" w:rsidRPr="0019104F">
        <w:rPr>
          <w:rFonts w:hint="eastAsia"/>
          <w:vertAlign w:val="superscript"/>
        </w:rPr>
        <w:t>a</w:t>
      </w:r>
      <w:proofErr w:type="spellEnd"/>
      <w:r w:rsidR="00C072F9">
        <w:rPr>
          <w:vertAlign w:val="superscript"/>
        </w:rPr>
        <w:t>,</w:t>
      </w:r>
      <w:r w:rsidR="0019104F">
        <w:rPr>
          <w:vertAlign w:val="superscript"/>
        </w:rPr>
        <w:t>*</w:t>
      </w:r>
      <w:r>
        <w:rPr>
          <w:rFonts w:hint="eastAsia"/>
        </w:rPr>
        <w:t>(</w:t>
      </w:r>
      <w:r w:rsidR="0019104F">
        <w:rPr>
          <w:rFonts w:hint="eastAsia"/>
        </w:rPr>
        <w:t>魏志潾</w:t>
      </w:r>
      <w:r>
        <w:rPr>
          <w:rFonts w:hint="eastAsia"/>
        </w:rPr>
        <w:t>)</w:t>
      </w:r>
    </w:p>
    <w:p w14:paraId="31C7130B" w14:textId="77777777" w:rsidR="0037699D" w:rsidRDefault="0019104F" w:rsidP="00577380">
      <w:proofErr w:type="spellStart"/>
      <w:proofErr w:type="gramStart"/>
      <w:r>
        <w:rPr>
          <w:vertAlign w:val="superscript"/>
        </w:rPr>
        <w:t>a</w:t>
      </w:r>
      <w:proofErr w:type="spellEnd"/>
      <w:proofErr w:type="gramEnd"/>
      <w:r>
        <w:rPr>
          <w:vertAlign w:val="superscript"/>
        </w:rPr>
        <w:t xml:space="preserve"> </w:t>
      </w:r>
      <w:r w:rsidR="0037699D">
        <w:t xml:space="preserve">Institute of Oceanography, National Taiwan University, </w:t>
      </w:r>
      <w:r w:rsidRPr="0019104F">
        <w:t>No.1, Sec. 4, Roosevelt Road, Taipei, 106319 Taiwan</w:t>
      </w:r>
    </w:p>
    <w:p w14:paraId="3D326DCE" w14:textId="77777777" w:rsidR="0037699D" w:rsidRPr="0019104F" w:rsidRDefault="0019104F" w:rsidP="00577380">
      <w:pPr>
        <w:rPr>
          <w:lang w:val="da-DK"/>
        </w:rPr>
      </w:pPr>
      <w:r w:rsidRPr="0019104F">
        <w:rPr>
          <w:vertAlign w:val="superscript"/>
          <w:lang w:val="da-DK"/>
        </w:rPr>
        <w:t>b</w:t>
      </w:r>
      <w:r w:rsidRPr="0019104F">
        <w:rPr>
          <w:lang w:val="da-DK"/>
        </w:rPr>
        <w:t xml:space="preserve"> </w:t>
      </w:r>
      <w:r w:rsidR="0037699D" w:rsidRPr="0019104F">
        <w:rPr>
          <w:lang w:val="da-DK"/>
        </w:rPr>
        <w:t xml:space="preserve">Syddansk Universitet, </w:t>
      </w:r>
      <w:r w:rsidRPr="0019104F">
        <w:rPr>
          <w:lang w:val="da-DK"/>
        </w:rPr>
        <w:t>Campusvej 55</w:t>
      </w:r>
      <w:r>
        <w:rPr>
          <w:lang w:val="da-DK"/>
        </w:rPr>
        <w:t xml:space="preserve">, </w:t>
      </w:r>
      <w:r w:rsidRPr="0019104F">
        <w:rPr>
          <w:lang w:val="da-DK"/>
        </w:rPr>
        <w:t>DK-5230</w:t>
      </w:r>
      <w:r>
        <w:rPr>
          <w:lang w:val="da-DK"/>
        </w:rPr>
        <w:t xml:space="preserve">, </w:t>
      </w:r>
      <w:r w:rsidRPr="0019104F">
        <w:rPr>
          <w:lang w:val="da-DK"/>
        </w:rPr>
        <w:t>Odense M</w:t>
      </w:r>
      <w:r>
        <w:rPr>
          <w:lang w:val="da-DK"/>
        </w:rPr>
        <w:t xml:space="preserve">, </w:t>
      </w:r>
      <w:r w:rsidR="0037699D" w:rsidRPr="0019104F">
        <w:rPr>
          <w:lang w:val="da-DK"/>
        </w:rPr>
        <w:t>Denmark</w:t>
      </w:r>
    </w:p>
    <w:p w14:paraId="52AB4563" w14:textId="36944C2C" w:rsidR="0019104F" w:rsidRDefault="0019104F" w:rsidP="00577380">
      <w:r>
        <w:t xml:space="preserve">* </w:t>
      </w:r>
      <w:r w:rsidR="00C072F9">
        <w:t>E-mail address</w:t>
      </w:r>
      <w:r>
        <w:t xml:space="preserve">: </w:t>
      </w:r>
      <w:hyperlink r:id="rId11" w:history="1">
        <w:r w:rsidR="00C072F9" w:rsidRPr="006D459D">
          <w:rPr>
            <w:rStyle w:val="ab"/>
          </w:rPr>
          <w:t>clwei@ntu.edu.tw</w:t>
        </w:r>
      </w:hyperlink>
      <w:r w:rsidR="00C072F9">
        <w:t xml:space="preserve"> (</w:t>
      </w:r>
      <w:r>
        <w:t>C</w:t>
      </w:r>
      <w:r w:rsidR="00C072F9">
        <w:t>.</w:t>
      </w:r>
      <w:r>
        <w:t>-L</w:t>
      </w:r>
      <w:r w:rsidR="00C072F9">
        <w:t>.</w:t>
      </w:r>
      <w:r>
        <w:t xml:space="preserve"> Wei</w:t>
      </w:r>
      <w:r w:rsidR="00C072F9">
        <w:t>)</w:t>
      </w:r>
    </w:p>
    <w:p w14:paraId="0C0F4EAA" w14:textId="31AC96B9" w:rsidR="00304E05" w:rsidRDefault="00304E05" w:rsidP="00577380">
      <w:r>
        <w:rPr>
          <w:rFonts w:hint="eastAsia"/>
        </w:rPr>
        <w:t>A</w:t>
      </w:r>
      <w:r>
        <w:t>bstract</w:t>
      </w:r>
    </w:p>
    <w:p w14:paraId="451F0954" w14:textId="34DD9372" w:rsidR="00304E05" w:rsidRDefault="00304E05" w:rsidP="00577380">
      <w:r>
        <w:t>Keywords: Authors must provide 4 to 6 keywords plus regional index terms. At least four of the subject keywords should be selected from the Aquatic Science &amp; Fisheries Thesaurus.</w:t>
      </w:r>
    </w:p>
    <w:p w14:paraId="16F13B26" w14:textId="77777777" w:rsidR="00304E05" w:rsidRDefault="00304E05" w:rsidP="00577380"/>
    <w:p w14:paraId="0F91C0BB" w14:textId="225A5937" w:rsidR="0037699D" w:rsidRPr="00952BC5" w:rsidRDefault="0037699D" w:rsidP="00577380">
      <w:pPr>
        <w:pStyle w:val="Title1"/>
      </w:pPr>
      <w:r w:rsidRPr="00952BC5">
        <w:t>Introduction</w:t>
      </w:r>
    </w:p>
    <w:p w14:paraId="1C5B6E80" w14:textId="121FBB30" w:rsidR="00952BC5" w:rsidRDefault="00952BC5" w:rsidP="00577380">
      <w:pPr>
        <w:pStyle w:val="a3"/>
        <w:numPr>
          <w:ilvl w:val="0"/>
          <w:numId w:val="2"/>
        </w:numPr>
      </w:pPr>
      <w:r>
        <w:t>Background</w:t>
      </w:r>
    </w:p>
    <w:p w14:paraId="665CD6D5" w14:textId="28BD8D24" w:rsidR="00B02C31" w:rsidRDefault="00B02C31" w:rsidP="00577380">
      <w:pPr>
        <w:pStyle w:val="a3"/>
        <w:numPr>
          <w:ilvl w:val="1"/>
          <w:numId w:val="2"/>
        </w:numPr>
      </w:pPr>
      <w:r>
        <w:t>River-influenced oceanic margins (</w:t>
      </w:r>
      <w:proofErr w:type="spellStart"/>
      <w:r>
        <w:t>RiOMar</w:t>
      </w:r>
      <w:proofErr w:type="spellEnd"/>
      <w:r>
        <w:t>)</w:t>
      </w:r>
    </w:p>
    <w:p w14:paraId="0ADC6B8F" w14:textId="69A968DA" w:rsidR="00B02C31" w:rsidRDefault="00B02C31" w:rsidP="00577380">
      <w:pPr>
        <w:pStyle w:val="a3"/>
        <w:numPr>
          <w:ilvl w:val="1"/>
          <w:numId w:val="2"/>
        </w:numPr>
      </w:pPr>
      <w:r>
        <w:t>Stats (see thesis)</w:t>
      </w:r>
    </w:p>
    <w:p w14:paraId="7103205D" w14:textId="39629050" w:rsidR="00B02C31" w:rsidRPr="00B02C31" w:rsidRDefault="00B02C31" w:rsidP="00577380">
      <w:pPr>
        <w:pStyle w:val="a3"/>
        <w:numPr>
          <w:ilvl w:val="1"/>
          <w:numId w:val="2"/>
        </w:numPr>
      </w:pPr>
      <w:r>
        <w:t>Role of sediment metazoans</w:t>
      </w:r>
    </w:p>
    <w:p w14:paraId="774765C3" w14:textId="49DE4FD9" w:rsidR="00952BC5" w:rsidRDefault="00952BC5" w:rsidP="00577380">
      <w:pPr>
        <w:pStyle w:val="a3"/>
        <w:numPr>
          <w:ilvl w:val="0"/>
          <w:numId w:val="2"/>
        </w:numPr>
      </w:pPr>
      <w:r>
        <w:t>Theories and previous studies</w:t>
      </w:r>
    </w:p>
    <w:p w14:paraId="70AA1737" w14:textId="03D1CA72" w:rsidR="004C51C3" w:rsidRDefault="004C51C3" w:rsidP="00577380">
      <w:pPr>
        <w:pStyle w:val="a3"/>
        <w:numPr>
          <w:ilvl w:val="1"/>
          <w:numId w:val="2"/>
        </w:numPr>
      </w:pPr>
      <w:r>
        <w:t xml:space="preserve">Rhoads (1985) proposed that the benthic communities in the River-influenced oceanic margins are controlled by sedimentation </w:t>
      </w:r>
      <w:r w:rsidR="00B02C31">
        <w:t xml:space="preserve">stress </w:t>
      </w:r>
      <w:r>
        <w:t>and nutrient supplement</w:t>
      </w:r>
      <w:r w:rsidR="00B02C31">
        <w:t>ation</w:t>
      </w:r>
      <w:r>
        <w:t xml:space="preserve"> from the adjacent river. (elaborate)</w:t>
      </w:r>
    </w:p>
    <w:p w14:paraId="3C363106" w14:textId="7C40A115" w:rsidR="004C51C3" w:rsidRDefault="004C51C3" w:rsidP="00577380">
      <w:pPr>
        <w:pStyle w:val="a3"/>
        <w:numPr>
          <w:ilvl w:val="1"/>
          <w:numId w:val="2"/>
        </w:numPr>
      </w:pPr>
      <w:r>
        <w:t xml:space="preserve">Studies after Rhoads generally echoed </w:t>
      </w:r>
      <w:proofErr w:type="spellStart"/>
      <w:r>
        <w:t>Rhoad’s</w:t>
      </w:r>
      <w:proofErr w:type="spellEnd"/>
      <w:r>
        <w:t xml:space="preserve"> </w:t>
      </w:r>
      <w:r>
        <w:rPr>
          <w:rFonts w:hint="eastAsia"/>
        </w:rPr>
        <w:t>(1</w:t>
      </w:r>
      <w:r>
        <w:t>985</w:t>
      </w:r>
      <w:r>
        <w:rPr>
          <w:rFonts w:hint="eastAsia"/>
        </w:rPr>
        <w:t xml:space="preserve">) </w:t>
      </w:r>
      <w:r>
        <w:t>finding.</w:t>
      </w:r>
    </w:p>
    <w:p w14:paraId="2DBF60CC" w14:textId="784E763C" w:rsidR="00B02C31" w:rsidRDefault="00B02C31" w:rsidP="00577380">
      <w:pPr>
        <w:pStyle w:val="a3"/>
        <w:numPr>
          <w:ilvl w:val="1"/>
          <w:numId w:val="2"/>
        </w:numPr>
      </w:pPr>
      <w:r>
        <w:t>Loss of diversity and abundance after the river flood.</w:t>
      </w:r>
    </w:p>
    <w:p w14:paraId="56709DE3" w14:textId="171C24E0" w:rsidR="004C51C3" w:rsidRDefault="00B02C31" w:rsidP="00577380">
      <w:pPr>
        <w:pStyle w:val="a3"/>
        <w:numPr>
          <w:ilvl w:val="1"/>
          <w:numId w:val="2"/>
        </w:numPr>
      </w:pPr>
      <w:r>
        <w:lastRenderedPageBreak/>
        <w:t>Changes in vertical distribution.</w:t>
      </w:r>
    </w:p>
    <w:p w14:paraId="435C0B6B" w14:textId="1B39F91C" w:rsidR="00952BC5" w:rsidRDefault="00952BC5" w:rsidP="00577380">
      <w:pPr>
        <w:pStyle w:val="a3"/>
        <w:numPr>
          <w:ilvl w:val="0"/>
          <w:numId w:val="2"/>
        </w:numPr>
      </w:pPr>
      <w:r>
        <w:rPr>
          <w:rFonts w:hint="eastAsia"/>
        </w:rPr>
        <w:t>Cu</w:t>
      </w:r>
      <w:r>
        <w:t xml:space="preserve">rrent knowledge gaps </w:t>
      </w:r>
    </w:p>
    <w:p w14:paraId="1A167972" w14:textId="4DCA3273" w:rsidR="00952BC5" w:rsidRDefault="00952BC5" w:rsidP="00577380">
      <w:pPr>
        <w:pStyle w:val="a3"/>
        <w:numPr>
          <w:ilvl w:val="1"/>
          <w:numId w:val="2"/>
        </w:numPr>
      </w:pPr>
      <w:r>
        <w:t xml:space="preserve">To our knowledge, little attention </w:t>
      </w:r>
      <w:r w:rsidR="00B02C31">
        <w:t>w</w:t>
      </w:r>
      <w:r w:rsidR="00934839">
        <w:t>as</w:t>
      </w:r>
      <w:r w:rsidR="00B02C31">
        <w:t xml:space="preserve"> paid to the benthic communities </w:t>
      </w:r>
      <w:r>
        <w:t xml:space="preserve">at </w:t>
      </w:r>
      <w:r w:rsidR="00B02C31">
        <w:t xml:space="preserve">the oceanic margins </w:t>
      </w:r>
      <w:r w:rsidR="00934839">
        <w:t xml:space="preserve">adjacent to </w:t>
      </w:r>
      <w:r>
        <w:t>small mountainous rivers (SMR) (but see</w:t>
      </w:r>
      <w:r w:rsidR="00B02C31">
        <w:t xml:space="preserve"> </w:t>
      </w:r>
      <w:r w:rsidR="00934839">
        <w:fldChar w:fldCharType="begin"/>
      </w:r>
      <w:r w:rsidR="00FA4F55">
        <w:instrText xml:space="preserve"> ADDIN ZOTERO_ITEM CSL_CITATION {"citationID":"qKcBv0C0","properties":{"formattedCitation":"(Akoumianaki et al., 2013, 2006; Akoumianaki and Nicolaidou, 2007)","plainCitation":"(Akoumianaki et al., 2013, 2006; Akoumianaki and Nicolaidou, 2007)","dontUpdate":true,"noteIndex":0},"citationItems":[{"id":618,"uris":["http://zotero.org/users/6403124/items/3YV2QD5J"],"itemData":{"id":618,"type":"article-journal","abstract":"Macrofauna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1445,"uris":["http://zotero.org/users/6403124/items/NDP77PLJ"],"itemData":{"id":1445,"type":"article-journal","abstract":"Benthic communities in delta fronts are subject to burial risk because of high riverine sediment discharges and to substrate instability due to deposition of fine sediments at shallow depths. This study examines the spatial distribution of macroinfauna in the subaqueous deltaic depositions of a small river in the eastern Mediterranean (the Spercheios river, Maliakos Gulf, Aegean Sea) in relation to environmental variables in the water column and sediment. Samples were taken at eight stations in January, May, August and November 2000. From late winter to spring enhanced phytoplanktonic biomass, elevated suspended load and poorly sorted sediments showed a simultaneous influence of riverine discharges and hydrodynamics on the benthic system. In contrast, from summer to autumn oligotrophy in the water column and low hydrodynamic regime were observed. Total abundance, biomass and numbers of benthic species were positively correlated with distance from the river but negatively correlated with suspended inorganic particles and sediment skewness. Species from different functional groups, ranging from surface-living opportunists to burrowers and predators, coexisted at each station. However, suspension feeders were numerically suppressed near the river mouth. Non-parametric multivariate regressions showed that the variance in the species data was explained by environmental variables to a level ranging from 53 to 69%. This indicated a strong link between the macrofauna and the delta front environment. The variables used as measures of hydrodynamics and turbidity (i.e. sediment skewness and sorting, suspended material and transparency) displayed great explanatory power. The results of the present study show that the distribution of species is related to fluctuations in hydrodynamic regime that influence substrate characteristics. The study also demonstrates that sediment discharges of small temperate rivers can determine species composition in the delta front and have a detrimental impact on the community at short distances from river outflows.","container-title":"Journal of Sea Research","DOI":"10.1016/j.seares.2006.07.003","journalAbbreviation":"Journal of Sea Research","page":"47-64","source":"ResearchGate","title":"Spatial variability and dynamics of macrobenthos in a Mediterranean delta front area: The role of physical processes","title-short":"Spatial variability and dynamics of macrobenthos in a Mediterranean delta front area","volume":"57","author":[{"family":"Akoumianaki","given":"Ioanna"},{"family":"Nicolaidou","given":"Artemis"}],"issued":{"date-parts":[["2007",1,31]]}}}],"schema":"https://github.com/citation-style-language/schema/raw/master/csl-citation.json"} </w:instrText>
      </w:r>
      <w:r w:rsidR="00934839">
        <w:fldChar w:fldCharType="separate"/>
      </w:r>
      <w:r w:rsidR="00934839" w:rsidRPr="00934839">
        <w:rPr>
          <w:rFonts w:ascii="Calibri" w:hAnsi="Calibri" w:cs="Calibri"/>
        </w:rPr>
        <w:t>Akoumianaki et al., 2013, 2006; Akoumianaki and Nicolaidou, 2007</w:t>
      </w:r>
      <w:r w:rsidR="00934839">
        <w:fldChar w:fldCharType="end"/>
      </w:r>
      <w:r>
        <w:t>).</w:t>
      </w:r>
    </w:p>
    <w:p w14:paraId="0E437141" w14:textId="075DF402" w:rsidR="00952BC5" w:rsidRDefault="00952BC5" w:rsidP="00577380">
      <w:pPr>
        <w:pStyle w:val="a3"/>
        <w:numPr>
          <w:ilvl w:val="1"/>
          <w:numId w:val="2"/>
        </w:numPr>
      </w:pPr>
      <w:r>
        <w:t xml:space="preserve">Due to their small watersheds and steep topographies, SMRs stochastically export mass sediments into the ocean, </w:t>
      </w:r>
      <w:r w:rsidR="004C51C3">
        <w:t>plays and important role in global carbon cycling.</w:t>
      </w:r>
    </w:p>
    <w:p w14:paraId="3A66AB52" w14:textId="19EA8859" w:rsidR="004C51C3" w:rsidRDefault="004C51C3" w:rsidP="00577380">
      <w:pPr>
        <w:pStyle w:val="a3"/>
        <w:numPr>
          <w:ilvl w:val="1"/>
          <w:numId w:val="2"/>
        </w:numPr>
      </w:pPr>
      <w:commentRangeStart w:id="1"/>
      <w:r>
        <w:t>Furthermore, few studies have been conducted to link sediment ecosystem functioning and the marine benthos despite acknowledging their importance in sediment ecosystem functioning.</w:t>
      </w:r>
      <w:commentRangeEnd w:id="1"/>
      <w:r>
        <w:rPr>
          <w:rStyle w:val="a4"/>
        </w:rPr>
        <w:commentReference w:id="1"/>
      </w:r>
    </w:p>
    <w:p w14:paraId="4AD756F3" w14:textId="65A2E528" w:rsidR="00E0277E" w:rsidRDefault="00E0277E" w:rsidP="00577380">
      <w:pPr>
        <w:pStyle w:val="a3"/>
        <w:numPr>
          <w:ilvl w:val="1"/>
          <w:numId w:val="2"/>
        </w:numPr>
      </w:pPr>
      <w:r>
        <w:t xml:space="preserve">Climate change alters intensity and frequency of </w:t>
      </w:r>
      <w:r w:rsidR="00934839">
        <w:t xml:space="preserve">extreme weather </w:t>
      </w:r>
      <w:r>
        <w:t>events.</w:t>
      </w:r>
    </w:p>
    <w:p w14:paraId="7FEBA711" w14:textId="16E732B8" w:rsidR="00E0277E" w:rsidRDefault="00E0277E" w:rsidP="00577380">
      <w:pPr>
        <w:pStyle w:val="a3"/>
        <w:numPr>
          <w:ilvl w:val="1"/>
          <w:numId w:val="2"/>
        </w:numPr>
      </w:pPr>
      <w:r>
        <w:t>By expanding geographical coverage, increasing temporal resolution, and integrating ecosystem functioning measurements, resea</w:t>
      </w:r>
      <w:r w:rsidR="00934839">
        <w:t>r</w:t>
      </w:r>
      <w:r>
        <w:t xml:space="preserve">chers could better project </w:t>
      </w:r>
      <w:r>
        <w:rPr>
          <w:rFonts w:hint="eastAsia"/>
        </w:rPr>
        <w:t>e</w:t>
      </w:r>
      <w:r>
        <w:t>cological changes</w:t>
      </w:r>
      <w:r w:rsidR="00236575">
        <w:t xml:space="preserve"> and the associated ecosystem response</w:t>
      </w:r>
      <w:r>
        <w:t xml:space="preserve"> </w:t>
      </w:r>
      <w:r w:rsidR="00236575">
        <w:t xml:space="preserve">in </w:t>
      </w:r>
      <w:r>
        <w:t>future climate scenarios.</w:t>
      </w:r>
    </w:p>
    <w:p w14:paraId="7F1D62B3" w14:textId="39EB5A4B" w:rsidR="0067188B" w:rsidRDefault="00952BC5" w:rsidP="00577380">
      <w:pPr>
        <w:pStyle w:val="a3"/>
        <w:numPr>
          <w:ilvl w:val="0"/>
          <w:numId w:val="2"/>
        </w:numPr>
      </w:pPr>
      <w:r w:rsidRPr="00952BC5">
        <w:t>Study area</w:t>
      </w:r>
      <w:r w:rsidR="00BC5A6A">
        <w:t xml:space="preserve"> (extract thesis text)</w:t>
      </w:r>
    </w:p>
    <w:p w14:paraId="51CA3832" w14:textId="6E092F16" w:rsidR="00A11B2E" w:rsidRDefault="00A11B2E" w:rsidP="00577380">
      <w:pPr>
        <w:pStyle w:val="a3"/>
        <w:numPr>
          <w:ilvl w:val="1"/>
          <w:numId w:val="2"/>
        </w:numPr>
      </w:pPr>
      <w:r>
        <w:t>Geographical location and geological origin of the Gaoping Continental Shelf.</w:t>
      </w:r>
    </w:p>
    <w:p w14:paraId="19ED0336" w14:textId="0A868697" w:rsidR="00E0277E" w:rsidRDefault="00A11B2E" w:rsidP="00577380">
      <w:pPr>
        <w:pStyle w:val="a3"/>
        <w:numPr>
          <w:ilvl w:val="1"/>
          <w:numId w:val="2"/>
        </w:numPr>
      </w:pPr>
      <w:r>
        <w:t>Basic information of the Gaoping River.</w:t>
      </w:r>
    </w:p>
    <w:p w14:paraId="65E60A92" w14:textId="259FC389" w:rsidR="00BC5A6A" w:rsidRPr="00A71AEF" w:rsidRDefault="00BC5A6A" w:rsidP="00577380">
      <w:pPr>
        <w:pStyle w:val="a3"/>
        <w:numPr>
          <w:ilvl w:val="1"/>
          <w:numId w:val="2"/>
        </w:numPr>
      </w:pPr>
      <w:r>
        <w:t>Climate conditions, dry and wet seasons (monsoon).</w:t>
      </w:r>
    </w:p>
    <w:p w14:paraId="192F9F53" w14:textId="5C77FE33" w:rsidR="00A11B2E" w:rsidRDefault="00A11B2E" w:rsidP="00577380">
      <w:pPr>
        <w:pStyle w:val="a3"/>
        <w:numPr>
          <w:ilvl w:val="1"/>
          <w:numId w:val="2"/>
        </w:numPr>
      </w:pPr>
      <w:r>
        <w:t>Sediment discharge patterns of the Gaoping River (annual load).</w:t>
      </w:r>
    </w:p>
    <w:p w14:paraId="025FDFCB" w14:textId="2D224F30" w:rsidR="00A11B2E" w:rsidRDefault="00A11B2E" w:rsidP="00577380">
      <w:pPr>
        <w:pStyle w:val="a3"/>
        <w:numPr>
          <w:ilvl w:val="1"/>
          <w:numId w:val="2"/>
        </w:numPr>
      </w:pPr>
      <w:r>
        <w:t>Roles of extreme events, namely typhoons and earthquakes.</w:t>
      </w:r>
    </w:p>
    <w:p w14:paraId="5406FCBE" w14:textId="50F7EFD8" w:rsidR="00F239EB" w:rsidRDefault="00D479FB" w:rsidP="00577380">
      <w:pPr>
        <w:pStyle w:val="a3"/>
        <w:numPr>
          <w:ilvl w:val="1"/>
          <w:numId w:val="2"/>
        </w:numPr>
      </w:pPr>
      <w:r>
        <w:lastRenderedPageBreak/>
        <w:t>Source and fate of organic matter in this system.</w:t>
      </w:r>
    </w:p>
    <w:p w14:paraId="3E5EEC9F" w14:textId="02E85609" w:rsidR="00952BC5" w:rsidRDefault="00952BC5" w:rsidP="00577380">
      <w:pPr>
        <w:pStyle w:val="a3"/>
        <w:numPr>
          <w:ilvl w:val="0"/>
          <w:numId w:val="2"/>
        </w:numPr>
      </w:pPr>
      <w:r>
        <w:t>Study objective</w:t>
      </w:r>
    </w:p>
    <w:p w14:paraId="26394EF1" w14:textId="45B1884A" w:rsidR="004C51C3" w:rsidRDefault="004C51C3" w:rsidP="00577380">
      <w:pPr>
        <w:pStyle w:val="a3"/>
        <w:numPr>
          <w:ilvl w:val="1"/>
          <w:numId w:val="2"/>
        </w:numPr>
      </w:pPr>
      <w:r>
        <w:t>The objective of this study is to document</w:t>
      </w:r>
      <w:r w:rsidR="00E0277E">
        <w:t xml:space="preserve"> the spatiotemporal variations of the macrofauna </w:t>
      </w:r>
      <w:r w:rsidR="008F0CE4">
        <w:t xml:space="preserve">standing stock, </w:t>
      </w:r>
      <w:r w:rsidR="00E0277E">
        <w:t>communit</w:t>
      </w:r>
      <w:r w:rsidR="008F0CE4">
        <w:t>y assemblage,</w:t>
      </w:r>
      <w:r w:rsidR="00E0277E">
        <w:t xml:space="preserve"> and the associated sediment oxygen dynamics.</w:t>
      </w:r>
    </w:p>
    <w:p w14:paraId="4CD3C9C8" w14:textId="2AC111C6" w:rsidR="00E0277E" w:rsidRDefault="00E0277E" w:rsidP="00577380">
      <w:pPr>
        <w:pStyle w:val="a3"/>
        <w:numPr>
          <w:ilvl w:val="1"/>
          <w:numId w:val="2"/>
        </w:numPr>
      </w:pPr>
      <w:r>
        <w:t>Specifically, we are interested in the spatiotemporal changes of macrofaunal abundance, biomass</w:t>
      </w:r>
      <w:r w:rsidR="00F239EB">
        <w:t>, composition</w:t>
      </w:r>
      <w:r>
        <w:t>, and the sediment community oxygen consumption (SCOC)</w:t>
      </w:r>
      <w:r w:rsidR="00F239EB">
        <w:t>.</w:t>
      </w:r>
    </w:p>
    <w:p w14:paraId="4BD39B3E" w14:textId="0FD3C6EF" w:rsidR="00F239EB" w:rsidRPr="00952BC5" w:rsidRDefault="00F239EB" w:rsidP="00577380">
      <w:pPr>
        <w:pStyle w:val="a3"/>
        <w:numPr>
          <w:ilvl w:val="1"/>
          <w:numId w:val="2"/>
        </w:numPr>
      </w:pPr>
      <w:r>
        <w:t>We further identified environmental drivers that shaped those features of the soft sediment ecosystem.</w:t>
      </w:r>
    </w:p>
    <w:p w14:paraId="659B90A3" w14:textId="296B8305" w:rsidR="0037699D" w:rsidRDefault="0037699D" w:rsidP="00577380">
      <w:pPr>
        <w:pStyle w:val="Title1"/>
      </w:pPr>
      <w:r>
        <w:rPr>
          <w:rFonts w:hint="eastAsia"/>
        </w:rPr>
        <w:t>Ma</w:t>
      </w:r>
      <w:r>
        <w:t xml:space="preserve">terial and </w:t>
      </w:r>
      <w:r w:rsidRPr="004E22B6">
        <w:t>methods</w:t>
      </w:r>
    </w:p>
    <w:p w14:paraId="33C1EC1C" w14:textId="4BBC15E0" w:rsidR="005B0207" w:rsidRDefault="005B0207" w:rsidP="00577380">
      <w:pPr>
        <w:pStyle w:val="Title2"/>
      </w:pPr>
      <w:r>
        <w:t>Shipboard sampling</w:t>
      </w:r>
    </w:p>
    <w:p w14:paraId="09A010A3" w14:textId="6CE518BF" w:rsidR="005B0207" w:rsidRPr="00577380" w:rsidRDefault="005B0207" w:rsidP="00577380">
      <w:r w:rsidRPr="00577380">
        <w:t>Two cruises were conducted to collect biological and geochemical data in the Gaoping Continental Shelf</w:t>
      </w:r>
      <w:r w:rsidR="00EF64E8" w:rsidRPr="00577380">
        <w:t xml:space="preserve"> (GS)</w:t>
      </w:r>
      <w:r w:rsidR="00473AE6">
        <w:t xml:space="preserve"> (</w:t>
      </w:r>
      <w:r w:rsidR="00473AE6" w:rsidRPr="00473AE6">
        <w:rPr>
          <w:color w:val="FF0000"/>
        </w:rPr>
        <w:t>figure 1</w:t>
      </w:r>
      <w:r w:rsidR="00473AE6">
        <w:t>)</w:t>
      </w:r>
      <w:r w:rsidRPr="00577380">
        <w:t>.</w:t>
      </w:r>
      <w:r w:rsidR="00EF64E8" w:rsidRPr="00577380">
        <w:t xml:space="preserve"> The </w:t>
      </w:r>
      <w:r w:rsidR="00473AE6">
        <w:t>c</w:t>
      </w:r>
      <w:r w:rsidR="00EF64E8" w:rsidRPr="00577380">
        <w:t>ruise</w:t>
      </w:r>
      <w:r w:rsidR="00473AE6">
        <w:t>s</w:t>
      </w:r>
      <w:r w:rsidR="00EF64E8" w:rsidRPr="00577380">
        <w:t xml:space="preserve"> OR1-1219 and OR1-1242 were conducted in March and October 2019, respectively.</w:t>
      </w:r>
      <w:r w:rsidR="00473AE6">
        <w:t xml:space="preserve"> S4 was only visited in OR1-1219, while S1 and S2 were visited in OR1-1242</w:t>
      </w:r>
      <w:r w:rsidR="00EF64E8" w:rsidRPr="00577380">
        <w:t>.</w:t>
      </w:r>
      <w:r w:rsidR="00473AE6">
        <w:t xml:space="preserve"> The rest of the f</w:t>
      </w:r>
      <w:r w:rsidR="00473AE6" w:rsidRPr="00577380">
        <w:t>our stations, namely S3, S5, S6, and S7, were revisited</w:t>
      </w:r>
      <w:r w:rsidR="00473AE6">
        <w:t xml:space="preserve"> during the two cruises.</w:t>
      </w:r>
    </w:p>
    <w:p w14:paraId="688C29F8" w14:textId="7A839AD7" w:rsidR="00855FAA" w:rsidRDefault="00FA4F55" w:rsidP="00577380">
      <w:r w:rsidRPr="00577380">
        <w:t xml:space="preserve">Between the two cruises, one typhoon, namely Typhoon </w:t>
      </w:r>
      <w:proofErr w:type="spellStart"/>
      <w:r w:rsidRPr="00577380">
        <w:t>Bailu</w:t>
      </w:r>
      <w:proofErr w:type="spellEnd"/>
      <w:r w:rsidRPr="00577380">
        <w:t xml:space="preserve"> made landfall in Taiwan on </w:t>
      </w:r>
      <w:r w:rsidR="0037566E">
        <w:t xml:space="preserve">1 p.m. at </w:t>
      </w:r>
      <w:r w:rsidRPr="00577380">
        <w:t xml:space="preserve">August 24th and caused extreme precipitation in southeast and southwest Taiwan </w:t>
      </w:r>
      <w:r w:rsidRPr="00577380">
        <w:fldChar w:fldCharType="begin"/>
      </w:r>
      <w:r w:rsidRPr="00577380">
        <w:instrText xml:space="preserve"> ADDIN ZOTERO_ITEM CSL_CITATION {"citationID":"ATZphJaB","properties":{"formattedCitation":"(Lin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Pr="00577380">
        <w:fldChar w:fldCharType="separate"/>
      </w:r>
      <w:r w:rsidRPr="00577380">
        <w:t>(Lin et al., 2020)</w:t>
      </w:r>
      <w:r w:rsidRPr="00577380">
        <w:fldChar w:fldCharType="end"/>
      </w:r>
      <w:r w:rsidRPr="00577380">
        <w:t>. T</w:t>
      </w:r>
      <w:r w:rsidR="00067757">
        <w:t xml:space="preserve">he extreme precipitation </w:t>
      </w:r>
      <w:proofErr w:type="spellStart"/>
      <w:r w:rsidRPr="00577380">
        <w:t>Bailu</w:t>
      </w:r>
      <w:proofErr w:type="spellEnd"/>
      <w:r w:rsidRPr="00577380">
        <w:t xml:space="preserve"> </w:t>
      </w:r>
      <w:r w:rsidR="00067757">
        <w:t xml:space="preserve">had brought </w:t>
      </w:r>
      <w:r w:rsidRPr="00577380">
        <w:t>caused floods and landslides</w:t>
      </w:r>
      <w:r w:rsidR="00346C19">
        <w:t xml:space="preserve"> across counties in southern Taiwan</w:t>
      </w:r>
      <w:r w:rsidR="00CF261F" w:rsidRPr="00577380">
        <w:t xml:space="preserve">. </w:t>
      </w:r>
      <w:proofErr w:type="spellStart"/>
      <w:r w:rsidR="00346C19">
        <w:t>Bailu</w:t>
      </w:r>
      <w:proofErr w:type="spellEnd"/>
      <w:r w:rsidR="00346C19">
        <w:t xml:space="preserve"> </w:t>
      </w:r>
      <w:r w:rsidR="00CF261F" w:rsidRPr="00577380">
        <w:t>also damaged harbors</w:t>
      </w:r>
      <w:r w:rsidR="00346C19">
        <w:t>, caused death and injuries,</w:t>
      </w:r>
      <w:r w:rsidR="00CF261F" w:rsidRPr="00577380">
        <w:t xml:space="preserve"> and caused </w:t>
      </w:r>
      <w:r w:rsidR="00745EA6">
        <w:t xml:space="preserve">agricultural production loss around </w:t>
      </w:r>
      <w:r w:rsidR="00CF261F" w:rsidRPr="00577380">
        <w:t xml:space="preserve">170 million NTD </w:t>
      </w:r>
      <w:r w:rsidR="00CF261F" w:rsidRPr="00577380">
        <w:fldChar w:fldCharType="begin"/>
      </w:r>
      <w:r w:rsidR="00CF261F" w:rsidRPr="00577380">
        <w:instrText xml:space="preserve"> ADDIN ZOTERO_ITEM CSL_CITATION {"citationID":"xFM2R9Xr","properties":{"formattedCitation":"(Lin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CF261F" w:rsidRPr="00577380">
        <w:fldChar w:fldCharType="separate"/>
      </w:r>
      <w:r w:rsidR="00CF261F" w:rsidRPr="00577380">
        <w:t>(Lin et al., 2020)</w:t>
      </w:r>
      <w:r w:rsidR="00CF261F" w:rsidRPr="00577380">
        <w:fldChar w:fldCharType="end"/>
      </w:r>
      <w:r w:rsidR="00CF261F" w:rsidRPr="00577380">
        <w:t>. Despit</w:t>
      </w:r>
      <w:r w:rsidR="00226EA8">
        <w:t xml:space="preserve">e the immense damage </w:t>
      </w:r>
      <w:proofErr w:type="spellStart"/>
      <w:r w:rsidR="00226EA8">
        <w:t>Bailu</w:t>
      </w:r>
      <w:proofErr w:type="spellEnd"/>
      <w:r w:rsidR="00226EA8">
        <w:t xml:space="preserve"> had caused</w:t>
      </w:r>
      <w:r w:rsidR="00CF261F" w:rsidRPr="00577380">
        <w:t xml:space="preserve">, </w:t>
      </w:r>
      <w:r w:rsidR="00226EA8">
        <w:t>the t</w:t>
      </w:r>
      <w:r w:rsidR="00CF261F" w:rsidRPr="00577380">
        <w:t xml:space="preserve">yphoon provided a rare opportunity to examine the response of the benthic </w:t>
      </w:r>
      <w:r w:rsidR="00CF261F" w:rsidRPr="00577380">
        <w:lastRenderedPageBreak/>
        <w:t>communities to extreme weather events.</w:t>
      </w:r>
    </w:p>
    <w:p w14:paraId="536DCB10" w14:textId="374E252B" w:rsidR="00D2663C" w:rsidRDefault="00D2663C" w:rsidP="00577380">
      <w:r>
        <w:t>In each station, Conductivity-Temperature-Depth (CTD) sensors were deployed to collect the profiles of salinity, temperature, water transmission, fluorescence, and dissolved oxygen from the surface water to 5 m above the seafloor. The rosette bottles on the CTD also collected bottom water for sediment incubation. Multi-corers were deployed to collected. Two core</w:t>
      </w:r>
      <w:r w:rsidR="00F47211">
        <w:t xml:space="preserve"> tubes were sectioned into 1-cm slices from top to bottom. Each sediment slice was then portioned for analyzing </w:t>
      </w:r>
      <w:r>
        <w:t xml:space="preserve">geochemical </w:t>
      </w:r>
      <w:r w:rsidR="00F47211">
        <w:t xml:space="preserve">signatures, such as sediment grain size, sediment porosity, and other bulk sediment compounds. Another three core tubes were chosen by their sediment length and better integrity for shipboard incubation </w:t>
      </w:r>
      <w:r w:rsidR="000E0BFC">
        <w:fldChar w:fldCharType="begin"/>
      </w:r>
      <w:r w:rsidR="002A0FE5">
        <w:instrText xml:space="preserve"> ADDIN ZOTERO_ITEM CSL_CITATION {"citationID":"FY9F7zlV","properties":{"formattedCitation":"(Glud,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0E0BFC">
        <w:fldChar w:fldCharType="separate"/>
      </w:r>
      <w:r w:rsidR="002A0FE5" w:rsidRPr="002A0FE5">
        <w:rPr>
          <w:rFonts w:ascii="Calibri" w:hAnsi="Calibri" w:cs="Calibri"/>
        </w:rPr>
        <w:t>(Glud, 2008)</w:t>
      </w:r>
      <w:r w:rsidR="000E0BFC">
        <w:fldChar w:fldCharType="end"/>
      </w:r>
      <w:r w:rsidR="00F47211">
        <w:t>.</w:t>
      </w:r>
    </w:p>
    <w:p w14:paraId="4BF4AD2D" w14:textId="2C3D53A5" w:rsidR="006D4CC7" w:rsidRDefault="006D4CC7" w:rsidP="00577380">
      <w:r>
        <w:t>The three s</w:t>
      </w:r>
      <w:r>
        <w:rPr>
          <w:rFonts w:hint="eastAsia"/>
        </w:rPr>
        <w:t>e</w:t>
      </w:r>
      <w:r>
        <w:t>diment cores were incubated in a temperature-control</w:t>
      </w:r>
      <w:r w:rsidR="00B26E32">
        <w:t>l</w:t>
      </w:r>
      <w:r>
        <w:t xml:space="preserve">ed water bath under dark condition to measure the </w:t>
      </w:r>
      <w:r w:rsidR="00E650B8">
        <w:t xml:space="preserve">total oxygen utilization (TOU) of the </w:t>
      </w:r>
      <w:r>
        <w:t>sediment.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magnetic stir bar attached to a motor was placed above the plastic lid, coupling to the stir bar underneath. Both motor and magnet bars rotated and stirred the overlying water at 60 rpm to prevent water stratification. Four every 4 to 6 hours, we used a miniature oxygen </w:t>
      </w:r>
      <w:proofErr w:type="spellStart"/>
      <w:r w:rsidR="0043219A">
        <w:t>optode</w:t>
      </w:r>
      <w:proofErr w:type="spellEnd"/>
      <w:r w:rsidR="0043219A">
        <w:t xml:space="preserve"> (</w:t>
      </w:r>
      <w:proofErr w:type="spellStart"/>
      <w:r w:rsidR="0043219A">
        <w:t>PreSens</w:t>
      </w:r>
      <w:proofErr w:type="spellEnd"/>
      <w:r w:rsidR="0043219A">
        <w:t xml:space="preserve"> PSt7) to measure oxygen concentration through a small resealable sampling port and a temperature sensor (</w:t>
      </w:r>
      <w:proofErr w:type="spellStart"/>
      <w:r w:rsidR="0043219A">
        <w:t>PreSens</w:t>
      </w:r>
      <w:proofErr w:type="spellEnd"/>
      <w:r w:rsidR="0043219A">
        <w:t xml:space="preserve"> Pt100) for the water bath temperature. The oxygen </w:t>
      </w:r>
      <w:proofErr w:type="spellStart"/>
      <w:r w:rsidR="0043219A">
        <w:t>optode</w:t>
      </w:r>
      <w:proofErr w:type="spellEnd"/>
      <w:r w:rsidR="0043219A">
        <w:t xml:space="preserve"> was calibrated for each cruise by scanning the product-specific barcode. We used </w:t>
      </w:r>
      <w:proofErr w:type="spellStart"/>
      <w:r w:rsidR="0043219A">
        <w:t>PreSens</w:t>
      </w:r>
      <w:proofErr w:type="spellEnd"/>
      <w:r w:rsidR="0043219A">
        <w:t xml:space="preserve"> </w:t>
      </w:r>
      <w:proofErr w:type="spellStart"/>
      <w:r w:rsidR="0043219A">
        <w:t>Microx</w:t>
      </w:r>
      <w:proofErr w:type="spellEnd"/>
      <w:r w:rsidR="0043219A">
        <w:t xml:space="preserve"> 4 data logger to record the dissolved oxygen and temperature until the oxygen levels dropped below 85% of the initial concentration </w:t>
      </w:r>
      <w:r w:rsidR="0043219A">
        <w:fldChar w:fldCharType="begin"/>
      </w:r>
      <w:r w:rsidR="0043219A">
        <w:instrText xml:space="preserve"> ADDIN ZOTERO_ITEM CSL_CITATION {"citationID":"0FMBwval","properties":{"formattedCitation":"(Glud,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43219A">
        <w:fldChar w:fldCharType="separate"/>
      </w:r>
      <w:r w:rsidR="0043219A" w:rsidRPr="0043219A">
        <w:rPr>
          <w:rFonts w:ascii="Calibri" w:hAnsi="Calibri" w:cs="Calibri"/>
        </w:rPr>
        <w:t>(Glud, 2008)</w:t>
      </w:r>
      <w:r w:rsidR="0043219A">
        <w:fldChar w:fldCharType="end"/>
      </w:r>
      <w:r w:rsidR="0043219A">
        <w:t>.</w:t>
      </w:r>
      <w:r w:rsidR="00C613C8">
        <w:t xml:space="preserve"> </w:t>
      </w:r>
      <w:r w:rsidR="005A6D9A">
        <w:t xml:space="preserve">We then used the </w:t>
      </w:r>
      <w:r w:rsidR="005A6D9A">
        <w:lastRenderedPageBreak/>
        <w:t xml:space="preserve">following equation to estimate TOU </w:t>
      </w:r>
      <w:r w:rsidR="005A6D9A">
        <w:fldChar w:fldCharType="begin"/>
      </w:r>
      <w:r w:rsidR="005A6D9A">
        <w:instrText xml:space="preserve"> ADDIN ZOTERO_ITEM CSL_CITATION {"citationID":"XykO8AYQ","properties":{"formattedCitation":"(Song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005A6D9A">
        <w:fldChar w:fldCharType="separate"/>
      </w:r>
      <w:r w:rsidR="005A6D9A" w:rsidRPr="005A6D9A">
        <w:rPr>
          <w:rFonts w:ascii="Calibri" w:hAnsi="Calibri" w:cs="Calibri"/>
        </w:rPr>
        <w:t>(Song et al., 2016)</w:t>
      </w:r>
      <w:r w:rsidR="005A6D9A">
        <w:fldChar w:fldCharType="end"/>
      </w:r>
      <w:r w:rsidR="005A6D9A">
        <w:t>: TOU = m * V/A * 24/1000, where m is the regression slope, V is water volume, A is area, 24/1000 adjusts the unit to mmol m</w:t>
      </w:r>
      <w:r w:rsidR="005A6D9A" w:rsidRPr="005A6D9A">
        <w:rPr>
          <w:vertAlign w:val="superscript"/>
        </w:rPr>
        <w:t>-</w:t>
      </w:r>
      <w:r w:rsidR="005A6D9A">
        <w:rPr>
          <w:vertAlign w:val="superscript"/>
        </w:rPr>
        <w:t xml:space="preserve">2 </w:t>
      </w:r>
      <w:r w:rsidR="005A6D9A">
        <w:t>d</w:t>
      </w:r>
      <w:r w:rsidR="005A6D9A" w:rsidRPr="005A6D9A">
        <w:rPr>
          <w:vertAlign w:val="superscript"/>
        </w:rPr>
        <w:t>-1</w:t>
      </w:r>
      <w:r w:rsidR="005A6D9A">
        <w:t xml:space="preserve">. </w:t>
      </w:r>
    </w:p>
    <w:p w14:paraId="35306332" w14:textId="77777777" w:rsidR="00792C26" w:rsidRDefault="0043219A" w:rsidP="00577380">
      <w:r>
        <w:t xml:space="preserve">After incubation, a pair of </w:t>
      </w:r>
      <w:proofErr w:type="spellStart"/>
      <w:r>
        <w:t>Unisense</w:t>
      </w:r>
      <w:proofErr w:type="spellEnd"/>
      <w:r>
        <w:t xml:space="preserve"> oxygen microelectrodes and temperature sensors were calibrated by endpoint methods every 24 hours </w:t>
      </w:r>
      <w:r>
        <w:fldChar w:fldCharType="begin"/>
      </w:r>
      <w:r>
        <w:instrText xml:space="preserve"> ADDIN ZOTERO_ITEM CSL_CITATION {"citationID":"rSZtA7CF","properties":{"formattedCitation":"(Unisense A/S, 2020)","plainCitation":"(Unisense A/S, 2020)","noteIndex":0},"citationItems":[{"id":1499,"uris":["http://zotero.org/users/6403124/items/2QH96T7G"],"itemData":{"id":1499,"type":"document","language":"English","publisher":"Unisense","title":"Oxygen sensor user manual","URL":"www.unisense.com","author":[{"family":"Unisense A/S","given":""}],"issued":{"date-parts":[["2020"]]}}}],"schema":"https://github.com/citation-style-language/schema/raw/master/csl-citation.json"} </w:instrText>
      </w:r>
      <w:r>
        <w:fldChar w:fldCharType="separate"/>
      </w:r>
      <w:r w:rsidRPr="0043219A">
        <w:rPr>
          <w:rFonts w:ascii="Calibri" w:hAnsi="Calibri" w:cs="Calibri"/>
        </w:rPr>
        <w:t>(Unisense A/S, 2020)</w:t>
      </w:r>
      <w:r>
        <w:fldChar w:fldCharType="end"/>
      </w:r>
      <w:r>
        <w:t xml:space="preserve"> and lowered into the sediment by a step motor to measure oxygen concentration profiles. The oxygen saturation endpoint was made by air-pumping the seawater with known salinity and temperature for at least 10 minutes. The oxygen depletion endpoint was made by adding sodium dithionite (Na</w:t>
      </w:r>
      <w:r w:rsidRPr="0043219A">
        <w:rPr>
          <w:vertAlign w:val="subscript"/>
        </w:rPr>
        <w:t>2</w:t>
      </w:r>
      <w:r>
        <w:t>S</w:t>
      </w:r>
      <w:r w:rsidRPr="0043219A">
        <w:rPr>
          <w:vertAlign w:val="subscript"/>
        </w:rPr>
        <w:t>2</w:t>
      </w:r>
      <w:r>
        <w:t>O</w:t>
      </w:r>
      <w:r w:rsidRPr="0043219A">
        <w:rPr>
          <w:vertAlign w:val="subscript"/>
        </w:rPr>
        <w:t>4</w:t>
      </w:r>
      <w:r>
        <w:t xml:space="preserve">), a strong reducing agent, into the seawater with known volume, salinity, and temperature. </w:t>
      </w:r>
      <w:r w:rsidR="00A04402">
        <w:t>Sediment oxygen concentration profiling started from roughly 1 cm above the sediment surface, with the step motor moving downward for 100 um per step until the oxygen readings of both the microelectrodes reached zero. At each step, the microelectrodes stopped for 3 seconds to stabilized themselves before taking measurements. According to Fick’s Law of Diffusion, we used the oxygen concentration profiles compensated by temperature, salinity, and sediment porosity to estimate dissolved oxygen utilization (DOU).</w:t>
      </w:r>
      <w:r w:rsidR="005A6D9A">
        <w:t xml:space="preserve"> The sediment oxygen concentration profiles were converted to the diffusive oxygen utilization (DOU) using </w:t>
      </w:r>
      <w:proofErr w:type="spellStart"/>
      <w:r w:rsidR="005A6D9A">
        <w:t>Unisense</w:t>
      </w:r>
      <w:proofErr w:type="spellEnd"/>
      <w:r w:rsidR="005A6D9A">
        <w:t xml:space="preserve"> Sensor Trace Suite software </w:t>
      </w:r>
      <w:r w:rsidR="005A6D9A">
        <w:fldChar w:fldCharType="begin"/>
      </w:r>
      <w:r w:rsidR="005A6D9A">
        <w:instrText xml:space="preserve"> ADDIN ZOTERO_ITEM CSL_CITATION {"citationID":"rI9ewN3u","properties":{"formattedCitation":"(Berg et al., 1998)","plainCitation":"(Berg et al., 1998)","noteIndex":0},"citationItems":[{"id":1587,"uris":["http://zotero.org/users/6403124/items/A7GGCSW8"],"itemData":{"id":1587,"type":"article-journal","abstract":"A robust numerical procedure for biogeochemical interpretation and analysis of measured concentration profiles of solutes in sediment pore water has been developed. Assuming that the concentration-depth profile represents a steady state, the rate of net production or consumption as a function of depth can be calculated, together with the flux across the sediment-water interface. Three kinds of vertical transport can be included in the analysis: molecular diffusion, bioturbation, and irrigation. The procedure involves finding a series of least square fits to the measured concentration profile, followed by comparisons of these fits through statistical F-testing. This approach leads to an objective selection of the simplest production-consumption profile that reproduces the concentration profile. Because the numerical procedure is optimized with respect to speed, one prediction can typically be done in a few minutes or less on a personal computer. The technique has been tested successfully against analytical solutions describing the transport and consumption of O2 in sediment pore water. In other tests, measured concentration profiles of O2, NO3−, NH4+, and ΣCO2 have been interpreted using the new procedure.","container-title":"Limnology and Oceanography","DOI":"10.4319/lo.1998.43.7.1500","ISSN":"1939-5590","issue":"7","language":"en","note":"_eprint: https://onlinelibrary.wiley.com/doi/pdf/10.4319/lo.1998.43.7.1500","page":"1500-1510","source":"Wiley Online Library","title":"Interpretation of measured concentration profiles in sediment pore water","volume":"43","author":[{"family":"Berg","given":"Peter"},{"family":"Risgaard-Petersen","given":"Nils"},{"family":"Rysgaard","given":"Søren"}],"issued":{"date-parts":[["1998"]]}}}],"schema":"https://github.com/citation-style-language/schema/raw/master/csl-citation.json"} </w:instrText>
      </w:r>
      <w:r w:rsidR="005A6D9A">
        <w:fldChar w:fldCharType="separate"/>
      </w:r>
      <w:r w:rsidR="005A6D9A" w:rsidRPr="005A6D9A">
        <w:rPr>
          <w:rFonts w:ascii="Calibri" w:hAnsi="Calibri" w:cs="Calibri"/>
        </w:rPr>
        <w:t>(Berg et al., 1998)</w:t>
      </w:r>
      <w:r w:rsidR="005A6D9A">
        <w:fldChar w:fldCharType="end"/>
      </w:r>
      <w:r w:rsidR="005A6D9A">
        <w:t>. The software calculates the oxygen consumption of the depth profile by intervals and then taken as the best estimator for each core. Another indicator for fauna activities, the oxygen penetration depth (OPD), was defined as the distance from the sediment-water interface to where the oxygen is depleted.</w:t>
      </w:r>
      <w:r w:rsidR="00843846">
        <w:rPr>
          <w:rFonts w:hint="eastAsia"/>
        </w:rPr>
        <w:t xml:space="preserve"> </w:t>
      </w:r>
    </w:p>
    <w:p w14:paraId="7D05FC6A" w14:textId="68F25EEC" w:rsidR="00D22AFB" w:rsidRDefault="005A6D9A" w:rsidP="00577380">
      <w:r>
        <w:t xml:space="preserve">Since </w:t>
      </w:r>
      <w:r w:rsidR="002652DA">
        <w:t xml:space="preserve">both </w:t>
      </w:r>
      <w:r>
        <w:t xml:space="preserve">TOU and DOU were measured </w:t>
      </w:r>
      <w:r w:rsidR="002652DA" w:rsidRPr="002652DA">
        <w:t>on board</w:t>
      </w:r>
      <w:r>
        <w:t xml:space="preserve">, they were adjusted </w:t>
      </w:r>
      <w:r w:rsidR="002652DA">
        <w:t xml:space="preserve">to </w:t>
      </w:r>
      <w:r w:rsidR="002652DA" w:rsidRPr="002652DA">
        <w:rPr>
          <w:i/>
        </w:rPr>
        <w:t>in situ</w:t>
      </w:r>
      <w:r w:rsidR="002652DA">
        <w:t xml:space="preserve"> values </w:t>
      </w:r>
      <w:r>
        <w:t xml:space="preserve">using </w:t>
      </w:r>
      <w:r w:rsidR="00843846">
        <w:rPr>
          <w:rFonts w:hint="eastAsia"/>
        </w:rPr>
        <w:t>t</w:t>
      </w:r>
      <w:r w:rsidR="00843846">
        <w:t xml:space="preserve">he temperature coefficient </w:t>
      </w:r>
      <w:r>
        <w:t>Q</w:t>
      </w:r>
      <w:r w:rsidRPr="00843846">
        <w:rPr>
          <w:vertAlign w:val="subscript"/>
        </w:rPr>
        <w:t>10</w:t>
      </w:r>
      <w:r>
        <w:t xml:space="preserve"> </w:t>
      </w:r>
      <w:r>
        <w:fldChar w:fldCharType="begin"/>
      </w:r>
      <w:r>
        <w:instrText xml:space="preserve"> ADDIN ZOTERO_ITEM CSL_CITATION {"citationID":"1JVNrXuO","properties":{"formattedCitation":"(Valiela, 2015)","plainCitation":"(Valiela, 2015)","noteIndex":0},"citationItems":[{"id":1586,"uris":["http://zotero.org/users/6403124/items/9JMMID9S"],"itemData":{"id":1586,"type":"book","edition":"3rd","event-place":"New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fldChar w:fldCharType="separate"/>
      </w:r>
      <w:r w:rsidRPr="005A6D9A">
        <w:rPr>
          <w:rFonts w:ascii="Calibri" w:hAnsi="Calibri" w:cs="Calibri"/>
        </w:rPr>
        <w:t>(Valiela, 2015)</w:t>
      </w:r>
      <w:r>
        <w:fldChar w:fldCharType="end"/>
      </w:r>
      <w:r>
        <w:t xml:space="preserve">. </w:t>
      </w:r>
    </w:p>
    <w:p w14:paraId="23D1DAAC" w14:textId="4C810223" w:rsidR="00D22AFB" w:rsidRPr="00D22AFB" w:rsidRDefault="00551EC8" w:rsidP="0057738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r>
            <m:rPr>
              <m:lit/>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insitu</m:t>
                  </m:r>
                </m:sub>
              </m:sSub>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insitu</m:t>
                      </m:r>
                    </m:sub>
                  </m:sSub>
                </m:e>
              </m:d>
            </m:sup>
          </m:sSup>
        </m:oMath>
      </m:oMathPara>
    </w:p>
    <w:p w14:paraId="71023918" w14:textId="7CF44FB3" w:rsidR="005A6D9A" w:rsidRDefault="005A6D9A" w:rsidP="00577380">
      <w:r>
        <w:t>Q</w:t>
      </w:r>
      <w:r w:rsidRPr="002652DA">
        <w:rPr>
          <w:vertAlign w:val="subscript"/>
        </w:rPr>
        <w:t>10</w:t>
      </w:r>
      <w:r>
        <w:t xml:space="preserve"> was assumed to be 2</w:t>
      </w:r>
      <w:r w:rsidR="00A21C03">
        <w:t xml:space="preserve">, as </w:t>
      </w:r>
      <w:r>
        <w:t>for most ectotherms</w:t>
      </w:r>
      <w:r w:rsidR="00D22AFB">
        <w:t xml:space="preserve">; </w:t>
      </w:r>
      <w:proofErr w:type="spellStart"/>
      <w:r w:rsidR="009727B3">
        <w:t>R</w:t>
      </w:r>
      <w:r w:rsidR="009727B3" w:rsidRPr="009727B3">
        <w:rPr>
          <w:vertAlign w:val="subscript"/>
        </w:rPr>
        <w:t>incub</w:t>
      </w:r>
      <w:proofErr w:type="spellEnd"/>
      <w:r w:rsidR="009727B3" w:rsidRPr="009727B3">
        <w:rPr>
          <w:vertAlign w:val="subscript"/>
        </w:rPr>
        <w:t>.</w:t>
      </w:r>
      <w:r w:rsidR="009727B3">
        <w:t xml:space="preserve"> and </w:t>
      </w:r>
      <w:proofErr w:type="spellStart"/>
      <w:r w:rsidR="009727B3">
        <w:t>T</w:t>
      </w:r>
      <w:r w:rsidR="009727B3" w:rsidRPr="009727B3">
        <w:rPr>
          <w:vertAlign w:val="subscript"/>
        </w:rPr>
        <w:t>incub</w:t>
      </w:r>
      <w:proofErr w:type="spellEnd"/>
      <w:r w:rsidR="009727B3" w:rsidRPr="009727B3">
        <w:rPr>
          <w:vertAlign w:val="subscript"/>
        </w:rPr>
        <w:t>.</w:t>
      </w:r>
      <w:r w:rsidR="009727B3">
        <w:rPr>
          <w:vertAlign w:val="subscript"/>
        </w:rPr>
        <w:t xml:space="preserve"> </w:t>
      </w:r>
      <w:r w:rsidR="009727B3">
        <w:t xml:space="preserve">were </w:t>
      </w:r>
      <w:r w:rsidR="00792C26">
        <w:t xml:space="preserve">the </w:t>
      </w:r>
      <w:r w:rsidR="009727B3">
        <w:t>measured oxygen utilization and incubated temperature</w:t>
      </w:r>
      <w:r w:rsidR="00A21C03">
        <w:t>;</w:t>
      </w:r>
      <w:r w:rsidR="009727B3">
        <w:t xml:space="preserve"> and</w:t>
      </w:r>
      <w:r w:rsidR="002652DA">
        <w:t xml:space="preserve"> </w:t>
      </w:r>
      <w:r w:rsidR="009727B3" w:rsidRPr="009727B3">
        <w:t>T</w:t>
      </w:r>
      <w:r w:rsidR="009727B3" w:rsidRPr="009727B3">
        <w:rPr>
          <w:vertAlign w:val="subscript"/>
        </w:rPr>
        <w:t>in sit</w:t>
      </w:r>
      <w:r w:rsidR="009727B3" w:rsidRPr="009727B3">
        <w:rPr>
          <w:rFonts w:hint="eastAsia"/>
          <w:vertAlign w:val="subscript"/>
        </w:rPr>
        <w:t>u</w:t>
      </w:r>
      <w:r w:rsidR="002652DA">
        <w:t xml:space="preserve"> was bottom water</w:t>
      </w:r>
      <w:r w:rsidR="009727B3">
        <w:rPr>
          <w:rFonts w:hint="eastAsia"/>
        </w:rPr>
        <w:t xml:space="preserve"> </w:t>
      </w:r>
      <w:r w:rsidR="009727B3">
        <w:t>temperature</w:t>
      </w:r>
      <w:r w:rsidR="004377F8">
        <w:t>. We estimated the contribution of metazoans on TOU, namely the benthic-mediated oxygen utilization (BOU)</w:t>
      </w:r>
      <w:r w:rsidR="007A04B6">
        <w:t>,</w:t>
      </w:r>
      <w:r w:rsidR="004377F8">
        <w:t xml:space="preserve"> by subtracting TOU</w:t>
      </w:r>
      <w:r w:rsidR="004377F8">
        <w:rPr>
          <w:rFonts w:hint="eastAsia"/>
        </w:rPr>
        <w:t xml:space="preserve"> </w:t>
      </w:r>
      <w:r w:rsidR="004377F8">
        <w:t>with DOU</w:t>
      </w:r>
      <w:r w:rsidR="00792C26">
        <w:t xml:space="preserve"> </w:t>
      </w:r>
      <w:r w:rsidR="003E72BD">
        <w:fldChar w:fldCharType="begin"/>
      </w:r>
      <w:r w:rsidR="003E72BD">
        <w:instrText xml:space="preserve"> ADDIN ZOTERO_ITEM CSL_CITATION {"citationID":"9dsdG7Z2","properties":{"formattedCitation":"(Glud,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3E72BD">
        <w:fldChar w:fldCharType="separate"/>
      </w:r>
      <w:r w:rsidR="003E72BD" w:rsidRPr="003E72BD">
        <w:rPr>
          <w:rFonts w:ascii="Calibri" w:hAnsi="Calibri" w:cs="Calibri"/>
        </w:rPr>
        <w:t>(Glud, 2008)</w:t>
      </w:r>
      <w:r w:rsidR="003E72BD">
        <w:fldChar w:fldCharType="end"/>
      </w:r>
      <w:r w:rsidR="004377F8">
        <w:t xml:space="preserve">. </w:t>
      </w:r>
      <w:r w:rsidR="00E16803">
        <w:t xml:space="preserve">Since </w:t>
      </w:r>
      <w:r w:rsidR="004377F8">
        <w:t>BOU strongly co</w:t>
      </w:r>
      <w:r w:rsidR="00D9524C">
        <w:t xml:space="preserve">varied with TOU </w:t>
      </w:r>
      <w:r w:rsidR="00E16803">
        <w:t xml:space="preserve">(r </w:t>
      </w:r>
      <w:proofErr w:type="gramStart"/>
      <w:r w:rsidR="00E16803">
        <w:t>= )</w:t>
      </w:r>
      <w:proofErr w:type="gramEnd"/>
      <w:r w:rsidR="004377F8">
        <w:t>, BOU was</w:t>
      </w:r>
      <w:r w:rsidR="004377F8" w:rsidRPr="004377F8">
        <w:t xml:space="preserve"> </w:t>
      </w:r>
      <w:r w:rsidR="004377F8">
        <w:t>not included for later analysis. DOU</w:t>
      </w:r>
      <w:r w:rsidR="00D9524C">
        <w:t xml:space="preserve"> measurements,</w:t>
      </w:r>
      <w:r w:rsidR="004377F8">
        <w:t xml:space="preserve"> on the other hand</w:t>
      </w:r>
      <w:r w:rsidR="00D9524C">
        <w:t xml:space="preserve">, </w:t>
      </w:r>
      <w:r w:rsidR="004377F8">
        <w:t xml:space="preserve">were generally similar between samples in compare to other regions of the world, and was </w:t>
      </w:r>
      <w:r w:rsidR="00383B79">
        <w:t>therefore</w:t>
      </w:r>
      <w:r w:rsidR="004377F8">
        <w:t xml:space="preserve"> not included for </w:t>
      </w:r>
      <w:r w:rsidR="007A04B6">
        <w:t xml:space="preserve">later </w:t>
      </w:r>
      <w:r w:rsidR="004377F8">
        <w:t>analys</w:t>
      </w:r>
      <w:r w:rsidR="007A04B6">
        <w:t>e</w:t>
      </w:r>
      <w:r w:rsidR="004377F8">
        <w:t>s (see discussion).</w:t>
      </w:r>
    </w:p>
    <w:p w14:paraId="7CBEBEDF" w14:textId="63E00B8E" w:rsidR="00A04402" w:rsidRPr="006D4CC7" w:rsidRDefault="00A04402" w:rsidP="00577380">
      <w:r>
        <w:t>After sediment profiling was completed, the upper 10 cm of the sediment were sieved through a 300 um and washed with filtered seawater to retain macrofauna. The retained samples were then fixed with a 1:1 ratio of filtered seawater and a Rose Bengal-stained 10% formaldehyde solution. The fixed samples were allowed to sit at least a week before sorting and measuring for body size.</w:t>
      </w:r>
    </w:p>
    <w:p w14:paraId="669F5B9A" w14:textId="799B73AE" w:rsidR="005B0207" w:rsidRDefault="005B0207" w:rsidP="00577380">
      <w:pPr>
        <w:pStyle w:val="Title2"/>
      </w:pPr>
      <w:r>
        <w:t>Laboratory analysis</w:t>
      </w:r>
    </w:p>
    <w:p w14:paraId="5A8477B3" w14:textId="4A4F568E" w:rsidR="00C613C8" w:rsidRDefault="00C613C8" w:rsidP="0069054C">
      <w:r>
        <w:t>Median grain size (D50), sand fraction, silt fraction, and clay fractions were measured with a laser diffraction size analyzer (Model LS-13320; Beckman Coulter Inc.). Sediment porosity (Por) and water content were measured by calculating the volume and weight difference after a 100</w:t>
      </w:r>
      <w:r>
        <w:rPr>
          <w:rFonts w:ascii="Times New Roman" w:hAnsi="Times New Roman" w:cs="Times New Roman"/>
        </w:rPr>
        <w:t>℃</w:t>
      </w:r>
      <w:r>
        <w:t xml:space="preserve"> for 24 hours assuming a specific density of 1.024 g cm</w:t>
      </w:r>
      <w:r w:rsidRPr="00C613C8">
        <w:rPr>
          <w:vertAlign w:val="superscript"/>
        </w:rPr>
        <w:t>-3</w:t>
      </w:r>
      <w:r>
        <w:t xml:space="preserve"> </w:t>
      </w:r>
      <w:r>
        <w:fldChar w:fldCharType="begin"/>
      </w:r>
      <w:r>
        <w:instrText xml:space="preserve"> ADDIN ZOTERO_ITEM CSL_CITATION {"citationID":"GDlMHd6N","properties":{"formattedCitation":"(Blum, 1997)","plainCitation":"(Blum, 1997)","noteIndex":0},"citationItems":[{"id":1565,"uris":["http://zotero.org/users/6403124/items/MTPJC84C"],"itemData":{"id":1565,"type":"chapter","container-title":"Physical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fldChar w:fldCharType="separate"/>
      </w:r>
      <w:r w:rsidRPr="00C613C8">
        <w:rPr>
          <w:rFonts w:ascii="Calibri" w:hAnsi="Calibri" w:cs="Calibri"/>
        </w:rPr>
        <w:t>(Blum, 1997)</w:t>
      </w:r>
      <w:r>
        <w:fldChar w:fldCharType="end"/>
      </w:r>
      <w:r>
        <w:t>.</w:t>
      </w:r>
    </w:p>
    <w:p w14:paraId="4207D805" w14:textId="7EF3655C" w:rsidR="0069054C" w:rsidRDefault="00A77FD2" w:rsidP="0069054C">
      <w:r>
        <w:t>We measured t</w:t>
      </w:r>
      <w:r w:rsidR="0069054C">
        <w:t>otal organic carbon (TOC), total nitrogen (TN), carbon-to-nitrogen ratio (CN),</w:t>
      </w:r>
      <w:r w:rsidR="0069054C" w:rsidRPr="0069054C">
        <w:t xml:space="preserve"> </w:t>
      </w:r>
      <w:r w:rsidR="0069054C">
        <w:t>sediment chlorophyll a (</w:t>
      </w:r>
      <w:proofErr w:type="spellStart"/>
      <w:r w:rsidR="0069054C">
        <w:t>Chla</w:t>
      </w:r>
      <w:proofErr w:type="spellEnd"/>
      <w:r w:rsidR="0069054C">
        <w:t>), and stable isotopic carbon (</w:t>
      </w:r>
      <w:r w:rsidR="0069054C">
        <w:rPr>
          <w:rFonts w:cstheme="minorHAnsi"/>
        </w:rPr>
        <w:t>δ</w:t>
      </w:r>
      <w:r w:rsidR="0069054C" w:rsidRPr="0069054C">
        <w:rPr>
          <w:vertAlign w:val="superscript"/>
        </w:rPr>
        <w:t>13</w:t>
      </w:r>
      <w:r w:rsidR="0069054C">
        <w:t xml:space="preserve">C) </w:t>
      </w:r>
      <w:r>
        <w:t xml:space="preserve">of the sediments for </w:t>
      </w:r>
      <w:commentRangeStart w:id="2"/>
      <w:r>
        <w:t>bulk material</w:t>
      </w:r>
      <w:commentRangeEnd w:id="2"/>
      <w:r>
        <w:rPr>
          <w:rStyle w:val="a4"/>
        </w:rPr>
        <w:commentReference w:id="2"/>
      </w:r>
      <w:r>
        <w:t xml:space="preserve">. </w:t>
      </w:r>
      <w:r w:rsidR="0069054C">
        <w:t xml:space="preserve">In brief, the sediment </w:t>
      </w:r>
      <w:r>
        <w:t>sub</w:t>
      </w:r>
      <w:r w:rsidR="0069054C">
        <w:t>samples were first acidified with 6</w:t>
      </w:r>
      <w:r w:rsidR="00BF602D">
        <w:t>N</w:t>
      </w:r>
      <w:r w:rsidR="0069054C">
        <w:t xml:space="preserve"> HCL and then sent to the Flash 2000 elemental analyzer in tandem with a GC-</w:t>
      </w:r>
      <w:proofErr w:type="spellStart"/>
      <w:r w:rsidR="0069054C">
        <w:lastRenderedPageBreak/>
        <w:t>Isolink</w:t>
      </w:r>
      <w:proofErr w:type="spellEnd"/>
      <w:r w:rsidR="0069054C">
        <w:t xml:space="preserve"> interface to a Delta V </w:t>
      </w:r>
      <w:r w:rsidR="00F055D2">
        <w:t xml:space="preserve">Plus isotope ratio mass spectrometer (both from Thermo Fisher Scientific) to measure TOC and </w:t>
      </w:r>
      <w:r w:rsidR="00F055D2">
        <w:rPr>
          <w:rFonts w:cstheme="minorHAnsi"/>
        </w:rPr>
        <w:t>δ</w:t>
      </w:r>
      <w:r w:rsidR="00F055D2" w:rsidRPr="0069054C">
        <w:rPr>
          <w:vertAlign w:val="superscript"/>
        </w:rPr>
        <w:t>13</w:t>
      </w:r>
      <w:r w:rsidR="00F055D2">
        <w:t xml:space="preserve">C. TOC values were reported in percent weight contribution, while </w:t>
      </w:r>
      <w:r w:rsidR="00F055D2">
        <w:rPr>
          <w:rFonts w:cstheme="minorHAnsi"/>
        </w:rPr>
        <w:t>δ</w:t>
      </w:r>
      <w:r w:rsidR="00F055D2" w:rsidRPr="0069054C">
        <w:rPr>
          <w:vertAlign w:val="superscript"/>
        </w:rPr>
        <w:t>13</w:t>
      </w:r>
      <w:r w:rsidR="00F055D2">
        <w:t>C values were calculated using Vienna-</w:t>
      </w:r>
      <w:proofErr w:type="spellStart"/>
      <w:r w:rsidR="00F055D2">
        <w:t>PeeDee</w:t>
      </w:r>
      <w:proofErr w:type="spellEnd"/>
      <w:r w:rsidR="00F055D2">
        <w:t xml:space="preserve"> Belemnite as the reference point and reported in </w:t>
      </w:r>
      <w:r w:rsidR="00F055D2">
        <w:rPr>
          <w:rFonts w:cstheme="minorHAnsi"/>
        </w:rPr>
        <w:t>‰</w:t>
      </w:r>
      <w:r w:rsidR="00F055D2">
        <w:t xml:space="preserve"> differences. TN measurements were similar to TOC and </w:t>
      </w:r>
      <w:r w:rsidR="00F055D2">
        <w:rPr>
          <w:rFonts w:cstheme="minorHAnsi"/>
        </w:rPr>
        <w:t>δ</w:t>
      </w:r>
      <w:r w:rsidR="00F055D2" w:rsidRPr="0069054C">
        <w:rPr>
          <w:vertAlign w:val="superscript"/>
        </w:rPr>
        <w:t>13</w:t>
      </w:r>
      <w:r w:rsidR="00F055D2">
        <w:t>C except no acid pretre</w:t>
      </w:r>
      <w:r w:rsidR="00B87748">
        <w:t>a</w:t>
      </w:r>
      <w:r w:rsidR="00355D8B">
        <w:t>t</w:t>
      </w:r>
      <w:r w:rsidR="00F055D2">
        <w:t xml:space="preserve">ments were applied before sending the sediment samples into the same instruments. CN was then derived by dividing TOC with TN. For </w:t>
      </w:r>
      <w:proofErr w:type="spellStart"/>
      <w:r w:rsidR="00F055D2">
        <w:t>Chla</w:t>
      </w:r>
      <w:proofErr w:type="spellEnd"/>
      <w:r w:rsidR="00F055D2">
        <w:t>, the sediment samples were first sitting in 10-ml acetone-water solution with a volumetric ratio of 9</w:t>
      </w:r>
      <w:r w:rsidR="00F055D2">
        <w:rPr>
          <w:rFonts w:hint="eastAsia"/>
        </w:rPr>
        <w:t>:1</w:t>
      </w:r>
      <w:r w:rsidR="00F055D2">
        <w:t xml:space="preserve"> in the dark at 4</w:t>
      </w:r>
      <w:r w:rsidR="00F055D2">
        <w:rPr>
          <w:rFonts w:ascii="Times New Roman" w:hAnsi="Times New Roman" w:cs="Times New Roman"/>
        </w:rPr>
        <w:t>℃</w:t>
      </w:r>
      <w:r w:rsidR="00F055D2">
        <w:t xml:space="preserve"> for 24 hours. The chlorophyll extracts were then measured with a fluorometer (Model 10-AU; Turner Designs, Inc.) and reported in nanogram per gram dry weight.</w:t>
      </w:r>
    </w:p>
    <w:p w14:paraId="5D2A502E" w14:textId="303E9327" w:rsidR="000D001B" w:rsidRDefault="000D001B" w:rsidP="000D001B">
      <w:r>
        <w:t>Back in the lab, the liquid of the fixed fauna samples was replaced with 70</w:t>
      </w:r>
      <w:r>
        <w:rPr>
          <w:rFonts w:hint="eastAsia"/>
        </w:rPr>
        <w:t>% e</w:t>
      </w:r>
      <w:r>
        <w:t xml:space="preserve">thanol for long-term storage. I sorted the fauna samples into major taxa (mostly at order level) and measured their relevant body dimensions with an ocular micrometer for biomass estimation. </w:t>
      </w:r>
      <w:r w:rsidR="0050333C">
        <w:t xml:space="preserve">While </w:t>
      </w:r>
      <w:r w:rsidR="005C726D">
        <w:t>specimens with at least on of its main body parts (i.e., head, thorax, and abdomen) were measured</w:t>
      </w:r>
      <w:r w:rsidR="0050333C">
        <w:t>, only the specimens with their cephalic region intact were included in later analysis</w:t>
      </w:r>
      <w:r w:rsidR="005C726D">
        <w:t>.</w:t>
      </w:r>
    </w:p>
    <w:p w14:paraId="0FC7F7AF" w14:textId="1CFB1592" w:rsidR="005C726D" w:rsidRDefault="005C726D" w:rsidP="000D001B">
      <w:r w:rsidRPr="005C726D">
        <w:t xml:space="preserve">Various methods were used to estimate taxon-specific biovolume. The biovolumes of </w:t>
      </w:r>
      <w:proofErr w:type="spellStart"/>
      <w:r w:rsidRPr="005C726D">
        <w:t>polychaetes</w:t>
      </w:r>
      <w:proofErr w:type="spellEnd"/>
      <w:r w:rsidRPr="005C726D">
        <w:t xml:space="preserve"> were estimated with each individual’s body shape. The body shapes of vermiform </w:t>
      </w:r>
      <w:proofErr w:type="spellStart"/>
      <w:r w:rsidRPr="005C726D">
        <w:t>polychaetes</w:t>
      </w:r>
      <w:proofErr w:type="spellEnd"/>
      <w:r w:rsidRPr="005C726D">
        <w:t xml:space="preserve"> were assumed to be cylinder, while </w:t>
      </w:r>
      <w:proofErr w:type="spellStart"/>
      <w:r w:rsidRPr="005C726D">
        <w:t>sternaspid</w:t>
      </w:r>
      <w:proofErr w:type="spellEnd"/>
      <w:r w:rsidRPr="005C726D">
        <w:t xml:space="preserve"> </w:t>
      </w:r>
      <w:proofErr w:type="spellStart"/>
      <w:r w:rsidRPr="005C726D">
        <w:t>polychaetes</w:t>
      </w:r>
      <w:proofErr w:type="spellEnd"/>
      <w:r w:rsidRPr="005C726D">
        <w:t xml:space="preserve"> were assumed to be ellipsoids. The biovolumes for some common benthic taxa were calculated </w:t>
      </w:r>
      <w:r w:rsidR="005F39B0">
        <w:t xml:space="preserve">using </w:t>
      </w:r>
      <w:r w:rsidRPr="005C726D">
        <w:t xml:space="preserve">the Length-Width Relationship (LWR): V =cLW2, where V is the individual volume; c is the taxon-specific conversion factor; L and W are the maximum length and width of the individual (Feller and Warwick, 1988). </w:t>
      </w:r>
      <w:r w:rsidR="005F39B0">
        <w:t>T</w:t>
      </w:r>
      <w:r w:rsidRPr="005C726D">
        <w:t xml:space="preserve">he biovolumes </w:t>
      </w:r>
      <w:r w:rsidR="005F39B0">
        <w:t xml:space="preserve">of some </w:t>
      </w:r>
      <w:r w:rsidR="005F39B0" w:rsidRPr="005C726D">
        <w:t xml:space="preserve">odd-shaped taxa </w:t>
      </w:r>
      <w:r w:rsidRPr="005C726D">
        <w:t xml:space="preserve">were </w:t>
      </w:r>
      <w:r w:rsidR="005F39B0">
        <w:t xml:space="preserve">also </w:t>
      </w:r>
      <w:r w:rsidRPr="005C726D">
        <w:t xml:space="preserve">estimated using LWR </w:t>
      </w:r>
      <w:r w:rsidR="005F39B0">
        <w:t xml:space="preserve">with </w:t>
      </w:r>
      <w:r w:rsidRPr="005C726D">
        <w:t xml:space="preserve">conversion </w:t>
      </w:r>
      <w:r w:rsidRPr="005C726D">
        <w:lastRenderedPageBreak/>
        <w:t xml:space="preserve">factors </w:t>
      </w:r>
      <w:r w:rsidR="005F39B0">
        <w:t xml:space="preserve">borrowed </w:t>
      </w:r>
      <w:r w:rsidRPr="005C726D">
        <w:t xml:space="preserve">from taxa with similar body shapes. </w:t>
      </w:r>
      <w:r w:rsidR="005F39B0" w:rsidRPr="005C726D">
        <w:t xml:space="preserve">The biovolumes of some other taxa with relatively simple body shapes were approximated with geometric shapes (i.e., cylinder, cone, ellipsoid) (e.g., Hillebrand et al. 1999). </w:t>
      </w:r>
      <w:r w:rsidRPr="005C726D">
        <w:t>The rest of the taxa were assumed to be cylindrical during measurement following the general volumetric method (Benoist et al., 2019). The derived biovolumes were then converted to wet weight by assuming a specific density of 1.13 (Gerlach et al., 1985).</w:t>
      </w:r>
    </w:p>
    <w:p w14:paraId="67774180" w14:textId="77777777" w:rsidR="0017616C" w:rsidRDefault="0017616C" w:rsidP="000D001B"/>
    <w:p w14:paraId="1C8E275E" w14:textId="5A9CCFE9" w:rsidR="0067188B" w:rsidRDefault="008F0CE4" w:rsidP="00577380">
      <w:pPr>
        <w:pStyle w:val="Title2"/>
      </w:pPr>
      <w:r w:rsidRPr="004E22B6">
        <w:t>Data analysis</w:t>
      </w:r>
    </w:p>
    <w:p w14:paraId="5FEC2828" w14:textId="598E0099" w:rsidR="0017616C" w:rsidRDefault="0017616C" w:rsidP="0017616C">
      <w:r>
        <w:t xml:space="preserve">All data analysis were conducted using R version 4.0.3 </w:t>
      </w:r>
      <w:r>
        <w:fldChar w:fldCharType="begin"/>
      </w:r>
      <w:r>
        <w:instrText xml:space="preserve"> ADDIN ZOTERO_ITEM CSL_CITATION {"citationID":"WHnnrj1k","properties":{"formattedCitation":"(R Core Team, 2020)","plainCitation":"(R Core Team, 2020)","noteIndex":0},"citationItems":[{"id":1390,"uris":["http://zotero.org/users/6403124/items/BRTUU83S"],"itemData":{"id":1390,"type":"software","event-place":"Vienna,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fldChar w:fldCharType="separate"/>
      </w:r>
      <w:r w:rsidRPr="0017616C">
        <w:rPr>
          <w:rFonts w:ascii="Calibri" w:hAnsi="Calibri" w:cs="Calibri"/>
        </w:rPr>
        <w:t>(R Core Team, 2020)</w:t>
      </w:r>
      <w:r>
        <w:fldChar w:fldCharType="end"/>
      </w:r>
      <w:r>
        <w:t xml:space="preserve"> with additional statistical packages </w:t>
      </w:r>
      <w:r w:rsidRPr="0017616C">
        <w:rPr>
          <w:i/>
        </w:rPr>
        <w:t>vegan</w:t>
      </w:r>
      <w:r>
        <w:t xml:space="preserve"> </w:t>
      </w:r>
      <w:r>
        <w:fldChar w:fldCharType="begin"/>
      </w:r>
      <w:r>
        <w:instrText xml:space="preserve"> ADDIN ZOTERO_ITEM CSL_CITATION {"citationID":"3IXYOvMe","properties":{"formattedCitation":"(Oksanen et al., 2021)","plainCitation":"(Oksanen et al., 2021)","noteIndex":0},"citationItems":[{"id":1391,"uris":["http://zotero.org/users/6403124/items/FIFD9NT9"],"itemData":{"id":1391,"type":"software","title":"vegan: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r>
        <w:fldChar w:fldCharType="separate"/>
      </w:r>
      <w:r w:rsidRPr="0017616C">
        <w:rPr>
          <w:rFonts w:ascii="Calibri" w:hAnsi="Calibri" w:cs="Calibri"/>
        </w:rPr>
        <w:t>(Oksanen et al., 2021)</w:t>
      </w:r>
      <w:r>
        <w:fldChar w:fldCharType="end"/>
      </w:r>
      <w:r>
        <w:t xml:space="preserve">, </w:t>
      </w:r>
      <w:proofErr w:type="spellStart"/>
      <w:r w:rsidRPr="0017616C">
        <w:rPr>
          <w:i/>
        </w:rPr>
        <w:t>MuMIn</w:t>
      </w:r>
      <w:proofErr w:type="spellEnd"/>
      <w:r>
        <w:t xml:space="preserve"> </w:t>
      </w:r>
      <w:r>
        <w:fldChar w:fldCharType="begin"/>
      </w:r>
      <w:r>
        <w:instrText xml:space="preserve"> ADDIN ZOTERO_ITEM CSL_CITATION {"citationID":"gGP0YlBK","properties":{"formattedCitation":"(Barto\\uc0\\u324{}, 2022)","plainCitation":"(Bartoń, 2022)","noteIndex":0},"citationItems":[{"id":1928,"uris":["http://zotero.org/users/6403124/items/VFXILAJU"],"itemData":{"id":1928,"type":"software","title":"MuMIn: Multi-Model Inference","URL":"url = https://CRAN.R-project.org/package=MuMIn","version":"R package version 1.46.0","author":[{"family":"Bartoń","given":"Kamil"}],"issued":{"date-parts":[["2022"]]}}}],"schema":"https://github.com/citation-style-language/schema/raw/master/csl-citation.json"} </w:instrText>
      </w:r>
      <w:r>
        <w:fldChar w:fldCharType="separate"/>
      </w:r>
      <w:r w:rsidRPr="0017616C">
        <w:rPr>
          <w:rFonts w:ascii="Calibri" w:hAnsi="Calibri" w:cs="Calibri"/>
          <w:szCs w:val="24"/>
        </w:rPr>
        <w:t>(</w:t>
      </w:r>
      <w:proofErr w:type="spellStart"/>
      <w:r w:rsidRPr="0017616C">
        <w:rPr>
          <w:rFonts w:ascii="Calibri" w:hAnsi="Calibri" w:cs="Calibri"/>
          <w:szCs w:val="24"/>
        </w:rPr>
        <w:t>Bartoń</w:t>
      </w:r>
      <w:proofErr w:type="spellEnd"/>
      <w:r w:rsidRPr="0017616C">
        <w:rPr>
          <w:rFonts w:ascii="Calibri" w:hAnsi="Calibri" w:cs="Calibri"/>
          <w:szCs w:val="24"/>
        </w:rPr>
        <w:t>, 2022)</w:t>
      </w:r>
      <w:r>
        <w:fldChar w:fldCharType="end"/>
      </w:r>
      <w:r>
        <w:t xml:space="preserve">. Packages </w:t>
      </w:r>
      <w:proofErr w:type="spellStart"/>
      <w:r w:rsidRPr="0017616C">
        <w:rPr>
          <w:i/>
        </w:rPr>
        <w:t>dplyr</w:t>
      </w:r>
      <w:proofErr w:type="spellEnd"/>
      <w:r>
        <w:t xml:space="preserve"> and </w:t>
      </w:r>
      <w:proofErr w:type="spellStart"/>
      <w:r w:rsidRPr="0017616C">
        <w:rPr>
          <w:i/>
        </w:rPr>
        <w:t>tidyr</w:t>
      </w:r>
      <w:proofErr w:type="spellEnd"/>
      <w:r>
        <w:t xml:space="preserve"> were used for data cleaning </w:t>
      </w:r>
      <w:r>
        <w:fldChar w:fldCharType="begin"/>
      </w:r>
      <w:r>
        <w:instrText xml:space="preserve"> ADDIN ZOTERO_ITEM CSL_CITATION {"citationID":"UsRHloUn","properties":{"formattedCitation":"(Wickham, 2021; Wickham et al., 2021)","plainCitation":"(Wickham, 2021; Wickham et al., 2021)","noteIndex":0},"citationItems":[{"id":10687,"uris":["http://zotero.org/users/6403124/items/XW9CFBFW"],"itemData":{"id":10687,"type":"software","title":"tidyr: Tidy Messy Data","URL":"https://CRAN.R-project.org/package=tidyr","version":"R package version 1.1.3","author":[{"family":"Wickham","given":"Hadley"}],"issued":{"date-parts":[["2021"]]}}},{"id":10688,"uris":["http://zotero.org/users/6403124/items/KQ2N6JJZ"],"itemData":{"id":10688,"type":"software","title":"dplyr: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rsidR="00380EB6">
        <w:t xml:space="preserve"> and its extensions</w:t>
      </w:r>
      <w:r>
        <w:t xml:space="preserve"> </w:t>
      </w:r>
      <w:r>
        <w:fldChar w:fldCharType="begin"/>
      </w:r>
      <w:r>
        <w:instrText xml:space="preserve"> ADDIN ZOTERO_ITEM CSL_CITATION {"citationID":"u2BSSxxy","properties":{"formattedCitation":"(Schloerke et al., 2021; Slowikowski, 2021; Wickham, 2016)","plainCitation":"(Schloerke et al., 2021; Slowikowski, 2021; Wickham, 2016)","noteIndex":0},"citationItems":[{"id":1395,"uris":["http://zotero.org/users/6403124/items/H2YSIWE4"],"itemData":{"id":1395,"type":"software","title":"GGally: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1394,"uris":["http://zotero.org/users/6403124/items/63NYWZP8"],"itemData":{"id":1394,"type":"software","title":"ggrepel: Automatically Position Non-Overlapping Text Labels with 'ggplot2'","URL":"https://CRAN.R-project.org/package=ggrepel","version":"R package version 0.9.1","author":[{"family":"Slowikowski","given":"Kamil"}],"issued":{"date-parts":[["2021"]]}}},{"id":1393,"uris":["http://zotero.org/users/6403124/items/SM5E6BWN"],"itemData":{"id":1393,"type":"software","ISBN":"978-3-319-24277-4","publisher":"Springer-Verlag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r>
        <w:fldChar w:fldCharType="separate"/>
      </w:r>
      <w:r w:rsidRPr="0017616C">
        <w:rPr>
          <w:rFonts w:ascii="Calibri" w:hAnsi="Calibri" w:cs="Calibri"/>
        </w:rPr>
        <w:t>(Schloerke et al., 2021; Slowikowski, 2021; Wickham, 2016)</w:t>
      </w:r>
      <w:r>
        <w:fldChar w:fldCharType="end"/>
      </w:r>
      <w:r>
        <w:t>.</w:t>
      </w:r>
    </w:p>
    <w:p w14:paraId="0DE006F0" w14:textId="6D40AF40" w:rsidR="00A30BC8" w:rsidRDefault="0067743C" w:rsidP="0017616C">
      <w:r>
        <w:t>We divided explanatory variables into (</w:t>
      </w:r>
      <w:r>
        <w:rPr>
          <w:rFonts w:hint="eastAsia"/>
        </w:rPr>
        <w:t>1</w:t>
      </w:r>
      <w:r>
        <w:t>) spatiotemporal factors and (2) environmental variables to analyze spatiotemporal patterns and</w:t>
      </w:r>
      <w:r w:rsidR="001E76AC">
        <w:t xml:space="preserve"> identify</w:t>
      </w:r>
      <w:r>
        <w:t xml:space="preserve"> environmental drivers separately. Despite not directly measured, </w:t>
      </w:r>
      <w:r>
        <w:rPr>
          <w:rFonts w:hint="eastAsia"/>
        </w:rPr>
        <w:t>t</w:t>
      </w:r>
      <w:r>
        <w:t>he DR</w:t>
      </w:r>
      <w:r>
        <w:rPr>
          <w:rFonts w:hint="eastAsia"/>
        </w:rPr>
        <w:t>M</w:t>
      </w:r>
      <w:r>
        <w:t xml:space="preserve"> of each station was calculated using </w:t>
      </w:r>
      <w:r w:rsidRPr="00A874E5">
        <w:t>World Geodetic System 1984</w:t>
      </w:r>
      <w:r>
        <w:t>. The coordinate of the river mouth was arbitrarily set at 120.423960</w:t>
      </w:r>
      <w:r>
        <w:rPr>
          <w:rFonts w:cstheme="minorHAnsi"/>
        </w:rPr>
        <w:t>⁰</w:t>
      </w:r>
      <w:r>
        <w:t>E and 22.470504</w:t>
      </w:r>
      <w:r>
        <w:rPr>
          <w:rFonts w:cstheme="minorHAnsi"/>
        </w:rPr>
        <w:t>⁰</w:t>
      </w:r>
      <w:r>
        <w:t>N using Google Map (</w:t>
      </w:r>
      <w:r w:rsidRPr="00A874E5">
        <w:rPr>
          <w:color w:val="FF0000"/>
        </w:rPr>
        <w:t>figure 1</w:t>
      </w:r>
      <w:r>
        <w:t>)</w:t>
      </w:r>
      <w:r>
        <w:rPr>
          <w:rFonts w:hint="eastAsia"/>
        </w:rPr>
        <w:t>.</w:t>
      </w:r>
      <w:r>
        <w:t xml:space="preserve"> </w:t>
      </w:r>
      <w:r w:rsidR="0017616C">
        <w:rPr>
          <w:rFonts w:hint="eastAsia"/>
        </w:rPr>
        <w:t>K</w:t>
      </w:r>
      <w:r w:rsidR="0017616C">
        <w:t xml:space="preserve">ey environmental variables were screened out with ecological reasoning and a Pearson correlation coefficient threshold of |r| &gt; 0.7 to prevent spurious results </w:t>
      </w:r>
      <w:r w:rsidR="0017616C">
        <w:fldChar w:fldCharType="begin"/>
      </w:r>
      <w:r w:rsidR="0017616C">
        <w:instrText xml:space="preserve"> ADDIN ZOTERO_ITEM CSL_CITATION {"citationID":"qmhcJw77","properties":{"formattedCitation":"(Dormann et al., 2013)","plainCitation":"(Dormann et al., 2013)","noteIndex":0},"citationItems":[{"id":1929,"uris":["http://zotero.org/users/6403124/items/EDDHKDXG"],"itemData":{"id":1929,"type":"article-journal","abstract":"Collinearity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K."},{"family":"Zurell","given":"Damaris"},{"family":"Lautenbach","given":"Sven"}],"issued":{"date-parts":[["2013"]]}}}],"schema":"https://github.com/citation-style-language/schema/raw/master/csl-citation.json"} </w:instrText>
      </w:r>
      <w:r w:rsidR="0017616C">
        <w:fldChar w:fldCharType="separate"/>
      </w:r>
      <w:r w:rsidR="0017616C" w:rsidRPr="0017616C">
        <w:rPr>
          <w:rFonts w:ascii="Calibri" w:hAnsi="Calibri" w:cs="Calibri"/>
        </w:rPr>
        <w:t>(Dormann et al., 2013)</w:t>
      </w:r>
      <w:r w:rsidR="0017616C">
        <w:fldChar w:fldCharType="end"/>
      </w:r>
      <w:r w:rsidR="0017616C">
        <w:t>.</w:t>
      </w:r>
      <w:r w:rsidR="0080512A">
        <w:t xml:space="preserve"> </w:t>
      </w:r>
      <w:r w:rsidR="00A30BC8">
        <w:t xml:space="preserve">Dissolved oxygen was excluded since all stations were well-oxygenated </w:t>
      </w:r>
      <w:r w:rsidR="00A30BC8">
        <w:fldChar w:fldCharType="begin"/>
      </w:r>
      <w:r w:rsidR="00A30BC8">
        <w:instrText xml:space="preserve"> ADDIN ZOTERO_ITEM CSL_CITATION {"citationID":"Xz016xUt","properties":{"formattedCitation":"(Middelburg and Levin, 2009)","plainCitation":"(Middelburg and Levin, 2009)","noteIndex":0},"citationItems":[{"id":1234,"uris":["http://zotero.org/users/6403124/items/NVX5NXDF"],"itemData":{"id":1234,"type":"article-journal","abstract":"&lt;p&gt;&lt;strong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biogeochemistry","volume":"6","author":[{"family":"Middelburg","given":"J. J."},{"family":"Levin","given":"L. A."}],"issued":{"date-parts":[["2009",7,28]]}}}],"schema":"https://github.com/citation-style-language/schema/raw/master/csl-citation.json"} </w:instrText>
      </w:r>
      <w:r w:rsidR="00A30BC8">
        <w:fldChar w:fldCharType="separate"/>
      </w:r>
      <w:r w:rsidR="00A30BC8" w:rsidRPr="00A30BC8">
        <w:rPr>
          <w:rFonts w:ascii="Calibri" w:hAnsi="Calibri" w:cs="Calibri"/>
        </w:rPr>
        <w:t>(Middelburg and Levin, 2009)</w:t>
      </w:r>
      <w:r w:rsidR="00A30BC8">
        <w:fldChar w:fldCharType="end"/>
      </w:r>
      <w:r w:rsidR="00A30BC8">
        <w:t xml:space="preserve">. </w:t>
      </w:r>
      <w:r w:rsidR="0080512A">
        <w:t>Strong correlations were present between salinity, transmission, and temperature (|r| &gt; 0.7)</w:t>
      </w:r>
      <w:r w:rsidR="00A30BC8">
        <w:t xml:space="preserve">; temperature was </w:t>
      </w:r>
      <w:r w:rsidR="005C4000">
        <w:rPr>
          <w:rFonts w:hint="eastAsia"/>
        </w:rPr>
        <w:t>s</w:t>
      </w:r>
      <w:r w:rsidR="005C4000">
        <w:t xml:space="preserve">elected into further analysis </w:t>
      </w:r>
      <w:r w:rsidR="00A30BC8">
        <w:t xml:space="preserve">due to its </w:t>
      </w:r>
      <w:r w:rsidR="005C4000">
        <w:t xml:space="preserve">cross-scale ecological </w:t>
      </w:r>
      <w:r w:rsidR="00A30BC8">
        <w:t>importance</w:t>
      </w:r>
      <w:r w:rsidR="005C4000">
        <w:t xml:space="preserve"> </w:t>
      </w:r>
      <w:r w:rsidR="005C4000">
        <w:fldChar w:fldCharType="begin"/>
      </w:r>
      <w:r w:rsidR="005C4000">
        <w:instrText xml:space="preserve"> ADDIN ZOTERO_ITEM CSL_CITATION {"citationID":"QmOstAyR","properties":{"formattedCitation":"(Brown et al., 2004)","plainCitation":"(Brown et al., 2004)","noteIndex":0},"citationItems":[{"id":241,"uris":["http://zotero.org/users/6403124/items/PUAR4F5B"],"itemData":{"id":241,"type":"article-journal","abstract":"Metabolism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005C4000">
        <w:fldChar w:fldCharType="separate"/>
      </w:r>
      <w:r w:rsidR="005C4000" w:rsidRPr="005C4000">
        <w:rPr>
          <w:rFonts w:ascii="Calibri" w:hAnsi="Calibri" w:cs="Calibri"/>
        </w:rPr>
        <w:t>(Brown et al., 2004)</w:t>
      </w:r>
      <w:r w:rsidR="005C4000">
        <w:fldChar w:fldCharType="end"/>
      </w:r>
      <w:r w:rsidR="0080512A">
        <w:t>.</w:t>
      </w:r>
      <w:r w:rsidR="00A30BC8">
        <w:t xml:space="preserve"> Due </w:t>
      </w:r>
      <w:r w:rsidR="00A30BC8">
        <w:lastRenderedPageBreak/>
        <w:t>to strong collinearity between clay, silt, sand fractions, and D50 (|r| &gt; 0.7), D50 was selected as the sole indicator of sediment granulometry.</w:t>
      </w:r>
      <w:r w:rsidR="000258C2">
        <w:t xml:space="preserve"> </w:t>
      </w:r>
      <w:r w:rsidR="00AF5636">
        <w:t xml:space="preserve">Porosity and TN were highly correlated (r &gt; 0.7). Since </w:t>
      </w:r>
      <w:r w:rsidR="005C4000">
        <w:t xml:space="preserve">other </w:t>
      </w:r>
      <w:r w:rsidR="00FC7E1C">
        <w:t xml:space="preserve">geochemical </w:t>
      </w:r>
      <w:r w:rsidR="005C4000">
        <w:t xml:space="preserve">indicators, such as </w:t>
      </w:r>
      <w:r w:rsidR="00AF5636">
        <w:t>CN</w:t>
      </w:r>
      <w:r w:rsidR="005C4000">
        <w:t xml:space="preserve"> and </w:t>
      </w:r>
      <w:proofErr w:type="spellStart"/>
      <w:r w:rsidR="005C4000">
        <w:t>Chla</w:t>
      </w:r>
      <w:proofErr w:type="spellEnd"/>
      <w:r w:rsidR="005C4000">
        <w:t xml:space="preserve">, </w:t>
      </w:r>
      <w:r w:rsidR="00AF5636">
        <w:t>also indicate organic matter quality</w:t>
      </w:r>
      <w:r w:rsidR="00EB46AB">
        <w:t xml:space="preserve"> </w:t>
      </w:r>
      <w:r w:rsidR="001B4B43">
        <w:fldChar w:fldCharType="begin"/>
      </w:r>
      <w:r w:rsidR="001B4B43">
        <w:instrText xml:space="preserve"> ADDIN ZOTERO_ITEM CSL_CITATION {"citationID":"GY4wbspG","properties":{"formattedCitation":"(Campany\\uc0\\u224{}-Llovet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001B4B43">
        <w:fldChar w:fldCharType="separate"/>
      </w:r>
      <w:r w:rsidR="001B4B43" w:rsidRPr="001B4B43">
        <w:rPr>
          <w:rFonts w:ascii="Calibri" w:hAnsi="Calibri" w:cs="Calibri"/>
          <w:szCs w:val="24"/>
        </w:rPr>
        <w:t>(Campanyà-Llovet et al., 2017)</w:t>
      </w:r>
      <w:r w:rsidR="001B4B43">
        <w:fldChar w:fldCharType="end"/>
      </w:r>
      <w:r w:rsidR="00AF5636">
        <w:t>, TN was excluded</w:t>
      </w:r>
      <w:r w:rsidR="005C4000">
        <w:t xml:space="preserve"> in later analyses</w:t>
      </w:r>
      <w:r w:rsidR="00FE5EDA">
        <w:rPr>
          <w:rFonts w:hint="eastAsia"/>
        </w:rPr>
        <w:t>.</w:t>
      </w:r>
      <w:r w:rsidR="00FE5EDA">
        <w:t xml:space="preserve"> </w:t>
      </w:r>
      <w:commentRangeStart w:id="3"/>
      <w:r w:rsidR="005C4000">
        <w:rPr>
          <w:rFonts w:cstheme="minorHAnsi"/>
        </w:rPr>
        <w:t>δ</w:t>
      </w:r>
      <w:r w:rsidR="005C4000" w:rsidRPr="005C4000">
        <w:rPr>
          <w:rFonts w:cstheme="minorHAnsi"/>
          <w:vertAlign w:val="superscript"/>
        </w:rPr>
        <w:t>13</w:t>
      </w:r>
      <w:r w:rsidR="005C4000">
        <w:rPr>
          <w:rFonts w:hint="eastAsia"/>
        </w:rPr>
        <w:t>C</w:t>
      </w:r>
      <w:r w:rsidR="005C4000">
        <w:t xml:space="preserve"> and </w:t>
      </w:r>
      <w:proofErr w:type="spellStart"/>
      <w:r w:rsidR="005C4000">
        <w:t>Chla</w:t>
      </w:r>
      <w:proofErr w:type="spellEnd"/>
      <w:r w:rsidR="005C4000">
        <w:t xml:space="preserve"> were negatively correlated (r = </w:t>
      </w:r>
      <w:r w:rsidR="00AE0199">
        <w:rPr>
          <w:rFonts w:hint="eastAsia"/>
        </w:rPr>
        <w:t>-</w:t>
      </w:r>
      <w:r w:rsidR="00AE0199">
        <w:t>0.76</w:t>
      </w:r>
      <w:r w:rsidR="005C4000">
        <w:t>)</w:t>
      </w:r>
      <w:r w:rsidR="001B4B43">
        <w:t>.</w:t>
      </w:r>
      <w:r w:rsidR="00F605FB">
        <w:t xml:space="preserve"> </w:t>
      </w:r>
      <w:proofErr w:type="spellStart"/>
      <w:r w:rsidR="00F605FB">
        <w:t>Chla</w:t>
      </w:r>
      <w:proofErr w:type="spellEnd"/>
      <w:r w:rsidR="00F605FB">
        <w:t xml:space="preserve"> was </w:t>
      </w:r>
      <w:r w:rsidR="001B4B43">
        <w:t>included for further</w:t>
      </w:r>
      <w:r w:rsidR="00F605FB">
        <w:t xml:space="preserve"> analyses since </w:t>
      </w:r>
      <w:r w:rsidR="0052687C">
        <w:rPr>
          <w:rFonts w:cstheme="minorHAnsi"/>
        </w:rPr>
        <w:t>δ</w:t>
      </w:r>
      <w:r w:rsidR="0052687C" w:rsidRPr="005C4000">
        <w:rPr>
          <w:rFonts w:cstheme="minorHAnsi"/>
          <w:vertAlign w:val="superscript"/>
        </w:rPr>
        <w:t>13</w:t>
      </w:r>
      <w:r w:rsidR="0052687C">
        <w:rPr>
          <w:rFonts w:hint="eastAsia"/>
        </w:rPr>
        <w:t>C</w:t>
      </w:r>
      <w:r w:rsidR="0052687C">
        <w:t xml:space="preserve"> signatures </w:t>
      </w:r>
      <w:r w:rsidR="0052687C">
        <w:rPr>
          <w:rFonts w:hint="eastAsia"/>
        </w:rPr>
        <w:t>m</w:t>
      </w:r>
      <w:r w:rsidR="0052687C">
        <w:t xml:space="preserve">ay be confounded by </w:t>
      </w:r>
      <w:r w:rsidR="002506A6">
        <w:t>marine autochthonous carbon</w:t>
      </w:r>
      <w:r w:rsidR="0052687C">
        <w:t xml:space="preserve">, modern terrestrial carbon, </w:t>
      </w:r>
      <w:r w:rsidR="002506A6">
        <w:t xml:space="preserve">and petrogenic carbon </w:t>
      </w:r>
      <w:r w:rsidR="001B4B43">
        <w:t xml:space="preserve">in the </w:t>
      </w:r>
      <w:r w:rsidR="00C90BEE">
        <w:t xml:space="preserve">present </w:t>
      </w:r>
      <w:r w:rsidR="001B4B43">
        <w:t xml:space="preserve">study area </w:t>
      </w:r>
      <w:r w:rsidR="0052687C">
        <w:fldChar w:fldCharType="begin"/>
      </w:r>
      <w:r w:rsidR="00C613C8">
        <w:instrText xml:space="preserve"> ADDIN ZOTERO_ITEM CSL_CITATION {"citationID":"hLSu6BZo","properties":{"formattedCitation":"(Carter et al., 2012; Kao et al., 2006)","plainCitation":"(Carter et al., 2012; Kao et al., 2006)","noteIndex":0},"citationItems":[{"id":10180,"uris":["http://zotero.org/users/6403124/items/9VJNGBDM"],"itemData":{"id":10180,"type":"article-journal","abstract":"Subsea fiber-optic telecommunication cables can break under fast sediment flows that travel 100s of kilometers through the deep ocean in response to earthquakes and submarine landslides. Similar flows are inferred to form from major river floods whose sediment-laden waters plunge and travel along the seabed. However, the complex initiation of flood-related flows and their hazard potential have not been observed until now. Here we use cable fault data from the Gaoping Canyon/Manila Trench off Taiwan to show that a major river flood, formed during Typhoon Morakot (2009), generated two, long run-out, destructive sediment flows; one during peak flood and the other 3 days later. The latter flow was more damaging with speeds and run-out similar to that of landslide-triggered turbidity currents formed in the same catchment. If the second flow was due to remobilized canyon sediment, it occurred during low earthquake (&gt;Mw 2.0) activity, suggesting other triggering mechanisms.","container-title":"Geophysical Research Letters","DOI":"10.1029/2012GL051172","ISSN":"1944-8007","issue":"12","language":"en","note":"_eprint: https://onlinelibrary.wiley.com/doi/pdf/10.1029/2012GL051172","source":"Wiley Online Library","title":"Near-synchronous and delayed initiation of long run-out submarine sediment flows from a record-breaking river flood, offshore Taiwan","URL":"https://onlinelibrary.wiley.com/doi/abs/10.1029/2012GL051172","volume":"39","author":[{"family":"Carter","given":"L."},{"family":"Milliman","given":"J. D."},{"family":"Talling","given":"P. J."},{"family":"Gavey","given":"R."},{"family":"Wynn","given":"R. B."}],"accessed":{"date-parts":[["2023",4,14]]},"issued":{"date-parts":[["2012"]]}}},{"id":1086,"uris":["http://zotero.org/users/6403124/items/Q27UTJS4"],"itemData":{"id":1086,"type":"article-journal","container-title":"Continental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schema":"https://github.com/citation-style-language/schema/raw/master/csl-citation.json"} </w:instrText>
      </w:r>
      <w:r w:rsidR="0052687C">
        <w:fldChar w:fldCharType="separate"/>
      </w:r>
      <w:r w:rsidR="0052687C" w:rsidRPr="0052687C">
        <w:rPr>
          <w:rFonts w:ascii="Calibri" w:hAnsi="Calibri" w:cs="Calibri"/>
        </w:rPr>
        <w:t>(Carter et al., 2012; Kao et al., 2006)</w:t>
      </w:r>
      <w:r w:rsidR="0052687C">
        <w:fldChar w:fldCharType="end"/>
      </w:r>
      <w:commentRangeEnd w:id="3"/>
      <w:r w:rsidR="002506A6">
        <w:rPr>
          <w:rStyle w:val="a4"/>
        </w:rPr>
        <w:commentReference w:id="3"/>
      </w:r>
      <w:r w:rsidR="005C4000">
        <w:t xml:space="preserve">. </w:t>
      </w:r>
      <w:r w:rsidR="00A30BC8">
        <w:t xml:space="preserve">The </w:t>
      </w:r>
      <w:r w:rsidR="009778EF">
        <w:t xml:space="preserve">resulting </w:t>
      </w:r>
      <w:r w:rsidR="00A30BC8">
        <w:t xml:space="preserve">variables were </w:t>
      </w:r>
      <w:r w:rsidR="009778EF" w:rsidRPr="009778EF">
        <w:rPr>
          <w:rFonts w:hint="eastAsia"/>
          <w:i/>
        </w:rPr>
        <w:t>T</w:t>
      </w:r>
      <w:r w:rsidR="009778EF" w:rsidRPr="009778EF">
        <w:rPr>
          <w:i/>
        </w:rPr>
        <w:t>emp</w:t>
      </w:r>
      <w:r w:rsidR="009778EF">
        <w:t xml:space="preserve">, </w:t>
      </w:r>
      <w:proofErr w:type="spellStart"/>
      <w:r w:rsidR="009778EF" w:rsidRPr="009778EF">
        <w:rPr>
          <w:i/>
        </w:rPr>
        <w:t>Fluo</w:t>
      </w:r>
      <w:proofErr w:type="spellEnd"/>
      <w:r w:rsidR="009778EF">
        <w:t xml:space="preserve">, </w:t>
      </w:r>
      <w:r w:rsidR="009778EF" w:rsidRPr="009778EF">
        <w:rPr>
          <w:i/>
        </w:rPr>
        <w:t>Por</w:t>
      </w:r>
      <w:r w:rsidR="009778EF">
        <w:t xml:space="preserve">, </w:t>
      </w:r>
      <w:r w:rsidR="000258C2" w:rsidRPr="000258C2">
        <w:rPr>
          <w:i/>
        </w:rPr>
        <w:t>D50</w:t>
      </w:r>
      <w:r w:rsidR="000258C2">
        <w:t xml:space="preserve">, </w:t>
      </w:r>
      <w:r w:rsidR="009778EF" w:rsidRPr="009778EF">
        <w:rPr>
          <w:i/>
        </w:rPr>
        <w:t>TOC</w:t>
      </w:r>
      <w:r w:rsidR="009778EF">
        <w:t xml:space="preserve">, </w:t>
      </w:r>
      <w:r w:rsidR="009778EF" w:rsidRPr="00AF5636">
        <w:rPr>
          <w:i/>
        </w:rPr>
        <w:t>CN</w:t>
      </w:r>
      <w:r w:rsidR="009778EF">
        <w:t xml:space="preserve">, and </w:t>
      </w:r>
      <w:proofErr w:type="spellStart"/>
      <w:r w:rsidR="009778EF" w:rsidRPr="00AF5636">
        <w:rPr>
          <w:i/>
        </w:rPr>
        <w:t>Chla</w:t>
      </w:r>
      <w:proofErr w:type="spellEnd"/>
      <w:r w:rsidR="009778EF">
        <w:t xml:space="preserve">. The variables </w:t>
      </w:r>
      <w:r w:rsidR="00FC7E1C">
        <w:t xml:space="preserve">were </w:t>
      </w:r>
      <w:r w:rsidR="00A30BC8">
        <w:t>centered and scaled to unit variance.</w:t>
      </w:r>
      <w:r w:rsidR="00B32EEB">
        <w:t xml:space="preserve"> Two axes of the principal component analysis (PCA) were extracted to visualize the environmental difference among sampling sites.</w:t>
      </w:r>
    </w:p>
    <w:p w14:paraId="074FD1A4" w14:textId="59FF6DF3" w:rsidR="009043AB" w:rsidRDefault="009043AB" w:rsidP="0017616C">
      <w:r>
        <w:t xml:space="preserve">Macrofauna abundance and biomass assemblages were Box-Cox-chord transformed </w:t>
      </w:r>
      <w:r>
        <w:fldChar w:fldCharType="begin"/>
      </w:r>
      <w:r>
        <w:instrText xml:space="preserve"> ADDIN ZOTERO_ITEM CSL_CITATION {"citationID":"NBsQSjRB","properties":{"formattedCitation":"(Legendre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fldChar w:fldCharType="separate"/>
      </w:r>
      <w:r w:rsidRPr="009043AB">
        <w:rPr>
          <w:rFonts w:ascii="Calibri" w:hAnsi="Calibri" w:cs="Calibri"/>
        </w:rPr>
        <w:t>(Legendre and Borcard, 2018)</w:t>
      </w:r>
      <w:r>
        <w:fldChar w:fldCharType="end"/>
      </w:r>
      <w:r>
        <w:t xml:space="preserve">. </w:t>
      </w:r>
      <w:r w:rsidR="00AA67C5">
        <w:rPr>
          <w:rFonts w:hint="eastAsia"/>
        </w:rPr>
        <w:t>W</w:t>
      </w:r>
      <w:r w:rsidR="00AA67C5">
        <w:t xml:space="preserve">hile </w:t>
      </w:r>
      <w:commentRangeStart w:id="4"/>
      <w:r w:rsidR="00AA67C5">
        <w:t xml:space="preserve">Hellinger transformation strictly takes the exponent of 0.5 on ecological data before chord transformation, Box-Cox-chord transformation </w:t>
      </w:r>
      <w:r w:rsidR="00561DBA">
        <w:t xml:space="preserve">is more flexible, </w:t>
      </w:r>
      <w:r w:rsidR="00AA67C5">
        <w:t>provid</w:t>
      </w:r>
      <w:r w:rsidR="00561DBA">
        <w:t xml:space="preserve">ing </w:t>
      </w:r>
      <w:r w:rsidR="00AA67C5">
        <w:t>a series of exponents for ecologists to choose from.</w:t>
      </w:r>
      <w:commentRangeEnd w:id="4"/>
      <w:r w:rsidR="008A6549">
        <w:rPr>
          <w:rStyle w:val="a4"/>
        </w:rPr>
        <w:commentReference w:id="4"/>
      </w:r>
      <w:r w:rsidR="008A6549">
        <w:t xml:space="preserve"> Using </w:t>
      </w:r>
      <w:r w:rsidR="00E3642C">
        <w:t xml:space="preserve">the </w:t>
      </w:r>
      <w:proofErr w:type="spellStart"/>
      <w:r w:rsidR="008A6549">
        <w:t>Dagnelie</w:t>
      </w:r>
      <w:proofErr w:type="spellEnd"/>
      <w:r w:rsidR="00E3642C">
        <w:t xml:space="preserve"> </w:t>
      </w:r>
      <w:r w:rsidR="008A6549">
        <w:t xml:space="preserve">test, the exponent that reaches </w:t>
      </w:r>
      <w:proofErr w:type="spellStart"/>
      <w:r w:rsidR="008A6549">
        <w:t>multinormality</w:t>
      </w:r>
      <w:proofErr w:type="spellEnd"/>
      <w:r w:rsidR="008A6549">
        <w:t xml:space="preserve"> of </w:t>
      </w:r>
      <w:r w:rsidR="00E3642C">
        <w:t xml:space="preserve">the </w:t>
      </w:r>
      <w:commentRangeStart w:id="5"/>
      <w:proofErr w:type="spellStart"/>
      <w:r w:rsidR="00E3642C">
        <w:t>Mahalanobis</w:t>
      </w:r>
      <w:proofErr w:type="spellEnd"/>
      <w:r w:rsidR="00E3642C">
        <w:t xml:space="preserve"> generalized </w:t>
      </w:r>
      <w:r w:rsidR="008A6549">
        <w:t>distance</w:t>
      </w:r>
      <w:commentRangeEnd w:id="5"/>
      <w:r w:rsidR="00E3642C">
        <w:rPr>
          <w:rStyle w:val="a4"/>
        </w:rPr>
        <w:commentReference w:id="5"/>
      </w:r>
      <w:r w:rsidR="008A6549">
        <w:t xml:space="preserve"> can be sought </w:t>
      </w:r>
      <w:r w:rsidR="008A6549">
        <w:fldChar w:fldCharType="begin"/>
      </w:r>
      <w:r w:rsidR="008A6549">
        <w:instrText xml:space="preserve"> ADDIN ZOTERO_ITEM CSL_CITATION {"citationID":"14A3F1Z5","properties":{"formattedCitation":"(Legendre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rsidR="008A6549">
        <w:fldChar w:fldCharType="separate"/>
      </w:r>
      <w:r w:rsidR="008A6549" w:rsidRPr="008A6549">
        <w:rPr>
          <w:rFonts w:ascii="Calibri" w:hAnsi="Calibri" w:cs="Calibri"/>
        </w:rPr>
        <w:t>(Legendre and Borcard, 2018)</w:t>
      </w:r>
      <w:r w:rsidR="008A6549">
        <w:fldChar w:fldCharType="end"/>
      </w:r>
      <w:r w:rsidR="008A6549">
        <w:t>. In this study, the exponent for macrofauna abundance and biomass compositions were 0.3 and 0.1, respectively.</w:t>
      </w:r>
      <w:r>
        <w:t xml:space="preserve"> </w:t>
      </w:r>
      <w:r w:rsidR="008A6549">
        <w:t>Euclidean distance w</w:t>
      </w:r>
      <w:r w:rsidR="00E3642C">
        <w:t>as</w:t>
      </w:r>
      <w:r w:rsidR="008A6549">
        <w:t xml:space="preserve"> then used to calculate between-sample pairwise distances.</w:t>
      </w:r>
      <w:r w:rsidR="00B66926">
        <w:t xml:space="preserve"> </w:t>
      </w:r>
      <w:r w:rsidR="001F2CA9">
        <w:t>The first two axes of the principal component analysis (PCA) were used to visualize the compositional difference between samples.</w:t>
      </w:r>
      <w:r w:rsidR="001F2CA9">
        <w:rPr>
          <w:rFonts w:hint="eastAsia"/>
        </w:rPr>
        <w:t xml:space="preserve"> </w:t>
      </w:r>
      <w:r w:rsidR="001F2CA9">
        <w:t xml:space="preserve">Only taxa with 40% of their variation explained by the first two PCs were shown. </w:t>
      </w:r>
      <w:r w:rsidR="00B66926">
        <w:t xml:space="preserve">On the other hand, macrofauna abundance and biomass were log10 transformed, while </w:t>
      </w:r>
      <w:r w:rsidR="00014B2B">
        <w:t>TOU</w:t>
      </w:r>
      <w:r w:rsidR="00B66926">
        <w:t xml:space="preserve"> were not., while scatterplots were drawn to show spatiotemporal variations between stations.</w:t>
      </w:r>
    </w:p>
    <w:p w14:paraId="14AC0F34" w14:textId="6080779D" w:rsidR="00B66926" w:rsidRDefault="00E3642C" w:rsidP="0017616C">
      <w:r>
        <w:lastRenderedPageBreak/>
        <w:t xml:space="preserve">Water depth, </w:t>
      </w:r>
      <w:r w:rsidR="008B1472">
        <w:t>the distance between each station and the Gaoping River mouth (DRM)</w:t>
      </w:r>
      <w:r>
        <w:t xml:space="preserve">, and Cruise </w:t>
      </w:r>
      <w:r w:rsidR="00B66926">
        <w:t xml:space="preserve">with all possible two-way interactions </w:t>
      </w:r>
      <w:r>
        <w:t>were fitted on (1) m</w:t>
      </w:r>
      <w:r w:rsidR="008C166F">
        <w:t xml:space="preserve">acrofauna </w:t>
      </w:r>
      <w:r>
        <w:t>abundance composition, (2) biomass composition</w:t>
      </w:r>
      <w:r w:rsidR="008C166F">
        <w:t xml:space="preserve">, </w:t>
      </w:r>
      <w:r>
        <w:t xml:space="preserve">(3) </w:t>
      </w:r>
      <w:r w:rsidR="008C166F">
        <w:t xml:space="preserve">abundance, </w:t>
      </w:r>
      <w:r>
        <w:t xml:space="preserve">(4) </w:t>
      </w:r>
      <w:r w:rsidR="008C166F">
        <w:t xml:space="preserve">biomass, and </w:t>
      </w:r>
      <w:r>
        <w:t xml:space="preserve">(5) </w:t>
      </w:r>
      <w:r w:rsidR="000447C5">
        <w:t>TOU</w:t>
      </w:r>
      <w:r w:rsidR="008C166F">
        <w:t xml:space="preserve"> </w:t>
      </w:r>
      <w:r>
        <w:t>to examine spatiotemporal patterns</w:t>
      </w:r>
      <w:r w:rsidR="00030ED6">
        <w:t>.</w:t>
      </w:r>
      <w:r w:rsidR="00DF40C4">
        <w:t xml:space="preserve"> We used </w:t>
      </w:r>
      <w:r w:rsidR="00785A15">
        <w:t xml:space="preserve"> </w:t>
      </w:r>
      <w:r w:rsidR="00DF40C4">
        <w:t xml:space="preserve">PERMANOVA with 9999 permutations </w:t>
      </w:r>
      <w:r w:rsidR="00DF40C4">
        <w:rPr>
          <w:rFonts w:hint="eastAsia"/>
        </w:rPr>
        <w:t>o</w:t>
      </w:r>
      <w:r w:rsidR="00DF40C4">
        <w:t>n m</w:t>
      </w:r>
      <w:r w:rsidR="0067743C">
        <w:t>acrofauna</w:t>
      </w:r>
      <w:r w:rsidR="00FE5EDA">
        <w:t xml:space="preserve"> </w:t>
      </w:r>
      <w:r w:rsidR="00A6732E">
        <w:t xml:space="preserve">abundance and biomass </w:t>
      </w:r>
      <w:r w:rsidR="00FE5EDA">
        <w:t>composition</w:t>
      </w:r>
      <w:r w:rsidR="0067743C">
        <w:t>s</w:t>
      </w:r>
      <w:r w:rsidR="00FE5EDA">
        <w:t xml:space="preserve"> </w:t>
      </w:r>
      <w:r w:rsidR="00B66926">
        <w:fldChar w:fldCharType="begin"/>
      </w:r>
      <w:r w:rsidR="00B66926">
        <w:instrText xml:space="preserve"> ADDIN ZOTERO_ITEM CSL_CITATION {"citationID":"dCmXFwc6","properties":{"formattedCitation":"(Anderson, 2017)","plainCitation":"(Anderson, 2017)","noteIndex":0},"citationItems":[{"id":1073,"uris":["http://zotero.org/users/6403124/items/AS7XL7CK"],"itemData":{"id":1073,"type":"chapter","abstract":"Permutational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Online","ISBN":"978-1-118-44511-2","language":"en","note":"_eprint: https://onlinelibrary.wiley.com/doi/pdf/10.1002/9781118445112.stat07841\nDOI: 10.1002/9781118445112.stat07841","page":"1-15","publisher":"American Cancer Society","source":"Wiley Online Library","title":"Permutational Multivariate Analysis of Variance (PERMANOVA)","URL":"https://onlinelibrary.wiley.com/doi/abs/10.1002/9781118445112.stat07841","author":[{"family":"Anderson","given":"Marti J."}],"accessed":{"date-parts":[["2021",9,22]]},"issued":{"date-parts":[["2017"]]}}}],"schema":"https://github.com/citation-style-language/schema/raw/master/csl-citation.json"} </w:instrText>
      </w:r>
      <w:r w:rsidR="00B66926">
        <w:fldChar w:fldCharType="separate"/>
      </w:r>
      <w:r w:rsidR="00B66926" w:rsidRPr="00B66926">
        <w:rPr>
          <w:rFonts w:ascii="Calibri" w:hAnsi="Calibri" w:cs="Calibri"/>
        </w:rPr>
        <w:t>(Anderson, 2017)</w:t>
      </w:r>
      <w:r w:rsidR="00B66926">
        <w:fldChar w:fldCharType="end"/>
      </w:r>
      <w:r w:rsidR="0067743C">
        <w:t xml:space="preserve">, while </w:t>
      </w:r>
      <w:r w:rsidR="00DF40C4">
        <w:t>we fit simple linear regression</w:t>
      </w:r>
      <w:r w:rsidR="00530514">
        <w:t>s</w:t>
      </w:r>
      <w:r w:rsidR="00DF40C4">
        <w:t xml:space="preserve"> on </w:t>
      </w:r>
      <w:r w:rsidR="0067743C">
        <w:t xml:space="preserve">macrofauna abundance, biomass, and </w:t>
      </w:r>
      <w:r w:rsidR="00B32EEB">
        <w:t>sediment TOU</w:t>
      </w:r>
      <w:r w:rsidR="0067743C">
        <w:t xml:space="preserve"> under </w:t>
      </w:r>
      <w:r w:rsidR="00FE5EDA">
        <w:t xml:space="preserve">the </w:t>
      </w:r>
      <w:proofErr w:type="spellStart"/>
      <w:r w:rsidR="00FE5EDA">
        <w:t>multimodel</w:t>
      </w:r>
      <w:proofErr w:type="spellEnd"/>
      <w:r w:rsidR="00FE5EDA">
        <w:t xml:space="preserve"> inference framework</w:t>
      </w:r>
      <w:r w:rsidR="00B66926">
        <w:t>.</w:t>
      </w:r>
      <w:r w:rsidR="009B0A91" w:rsidRPr="009B0A91">
        <w:t xml:space="preserve"> </w:t>
      </w:r>
      <w:r w:rsidR="00A22B49">
        <w:t>Preventing arbitrar</w:t>
      </w:r>
      <w:r w:rsidR="00C23574">
        <w:t>ily lean on a single model</w:t>
      </w:r>
      <w:r w:rsidR="00A22B49">
        <w:t>, t</w:t>
      </w:r>
      <w:r w:rsidR="009B0A91" w:rsidRPr="009B0A91">
        <w:t xml:space="preserve">he </w:t>
      </w:r>
      <w:proofErr w:type="spellStart"/>
      <w:r w:rsidR="009B0A91" w:rsidRPr="009B0A91">
        <w:t>multimodel</w:t>
      </w:r>
      <w:proofErr w:type="spellEnd"/>
      <w:r w:rsidR="009B0A91">
        <w:t xml:space="preserve"> inference</w:t>
      </w:r>
      <w:r w:rsidR="009B0A91" w:rsidRPr="009B0A91">
        <w:t xml:space="preserve"> framework</w:t>
      </w:r>
      <w:r w:rsidR="001E4CBB" w:rsidRPr="001E4CBB">
        <w:t xml:space="preserve"> </w:t>
      </w:r>
      <w:r w:rsidR="001E4CBB" w:rsidRPr="009B0A91">
        <w:t>us</w:t>
      </w:r>
      <w:r w:rsidR="001E4CBB">
        <w:t>es</w:t>
      </w:r>
      <w:r w:rsidR="001E4CBB" w:rsidRPr="009B0A91">
        <w:t xml:space="preserve"> information theoretic approaches</w:t>
      </w:r>
      <w:r w:rsidR="000B09CB">
        <w:t xml:space="preserve"> to</w:t>
      </w:r>
      <w:r w:rsidR="009B0A91" w:rsidRPr="009B0A91">
        <w:t xml:space="preserve"> </w:t>
      </w:r>
      <w:r w:rsidR="000B09CB">
        <w:t xml:space="preserve">account </w:t>
      </w:r>
      <w:r w:rsidR="009B0A91" w:rsidRPr="009B0A91">
        <w:t>uncertainty</w:t>
      </w:r>
      <w:r w:rsidR="000B09CB">
        <w:t xml:space="preserve"> across several models</w:t>
      </w:r>
      <w:r w:rsidR="00FF6FE2">
        <w:t>, identifies competing models,</w:t>
      </w:r>
      <w:r w:rsidR="000B09CB">
        <w:t xml:space="preserve"> </w:t>
      </w:r>
      <w:r w:rsidR="009B0A91" w:rsidRPr="009B0A91">
        <w:t xml:space="preserve">and </w:t>
      </w:r>
      <w:r w:rsidR="00FF6FE2">
        <w:t xml:space="preserve">then </w:t>
      </w:r>
      <w:r w:rsidR="009B0A91" w:rsidRPr="009B0A91">
        <w:t xml:space="preserve">draws inferences from </w:t>
      </w:r>
      <w:r w:rsidR="000B09CB">
        <w:t xml:space="preserve">them </w:t>
      </w:r>
      <w:r w:rsidR="000B09CB">
        <w:fldChar w:fldCharType="begin"/>
      </w:r>
      <w:r w:rsidR="000B09CB">
        <w:instrText xml:space="preserve"> ADDIN ZOTERO_ITEM CSL_CITATION {"citationID":"PyzvS9i9","properties":{"formattedCitation":"(Burnham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0B09CB">
        <w:fldChar w:fldCharType="separate"/>
      </w:r>
      <w:r w:rsidR="000B09CB" w:rsidRPr="000B09CB">
        <w:rPr>
          <w:rFonts w:ascii="Calibri" w:hAnsi="Calibri" w:cs="Calibri"/>
        </w:rPr>
        <w:t>(Burnham and Anderson, 2002)</w:t>
      </w:r>
      <w:r w:rsidR="000B09CB">
        <w:fldChar w:fldCharType="end"/>
      </w:r>
      <w:r w:rsidR="009B0A91" w:rsidRPr="009B0A91">
        <w:t>.</w:t>
      </w:r>
      <w:r w:rsidR="009B0A91">
        <w:t xml:space="preserve"> </w:t>
      </w:r>
      <w:r w:rsidR="0067743C">
        <w:t>W</w:t>
      </w:r>
      <w:r w:rsidR="00FE5EDA">
        <w:t xml:space="preserve">e sought all possible combinations of the explanatory variables and </w:t>
      </w:r>
      <w:r w:rsidR="00DA6271">
        <w:t xml:space="preserve">extracted an un-nested top model set </w:t>
      </w:r>
      <w:r w:rsidR="00FE5EDA">
        <w:t xml:space="preserve">with </w:t>
      </w:r>
      <w:r w:rsidR="009043AB">
        <w:rPr>
          <w:rFonts w:cstheme="minorHAnsi"/>
        </w:rPr>
        <w:t>Δ</w:t>
      </w:r>
      <w:r w:rsidR="00FE5EDA">
        <w:t xml:space="preserve">AICc </w:t>
      </w:r>
      <w:r w:rsidR="009043AB">
        <w:t>&lt;</w:t>
      </w:r>
      <w:r w:rsidR="00FE5EDA">
        <w:t xml:space="preserve"> 6 </w:t>
      </w:r>
      <w:r w:rsidR="00FE5EDA">
        <w:fldChar w:fldCharType="begin"/>
      </w:r>
      <w:r w:rsidR="00FE5EDA">
        <w:instrText xml:space="preserve"> ADDIN ZOTERO_ITEM CSL_CITATION {"citationID":"Hh30ZAxH","properties":{"formattedCitation":"(Richards, 2008, 2005)","plainCitation":"(Richards, 2008, 2005)","noteIndex":0},"citationItems":[{"id":11349,"uris":["http://zotero.org/users/6403124/items/97AI2NKU"],"itemData":{"id":11349,"type":"article-journal","abstract":"1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A."}],"issued":{"date-parts":[["2008"]]}}},{"id":11457,"uris":["http://zotero.org/users/6403124/items/VGZJTAMM"],"itemData":{"id":11457,"type":"article-journal","abstract":"Ecologists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Approach","volume":"86","author":[{"family":"Richards","given":"Shane A."}],"issued":{"date-parts":[["2005"]]}}}],"schema":"https://github.com/citation-style-language/schema/raw/master/csl-citation.json"} </w:instrText>
      </w:r>
      <w:r w:rsidR="00FE5EDA">
        <w:fldChar w:fldCharType="separate"/>
      </w:r>
      <w:r w:rsidR="00FE5EDA" w:rsidRPr="00FE5EDA">
        <w:rPr>
          <w:rFonts w:ascii="Calibri" w:hAnsi="Calibri" w:cs="Calibri"/>
        </w:rPr>
        <w:t>(Richards, 2008, 2005)</w:t>
      </w:r>
      <w:r w:rsidR="00FE5EDA">
        <w:fldChar w:fldCharType="end"/>
      </w:r>
      <w:r w:rsidR="00FE5EDA">
        <w:t xml:space="preserve">. </w:t>
      </w:r>
      <w:r w:rsidR="0093423C">
        <w:t>Using such</w:t>
      </w:r>
      <w:r w:rsidR="00DA6271">
        <w:t xml:space="preserve"> </w:t>
      </w:r>
      <w:r w:rsidR="00870A6A">
        <w:rPr>
          <w:rFonts w:hint="eastAsia"/>
        </w:rPr>
        <w:t>a</w:t>
      </w:r>
      <w:r w:rsidR="00870A6A">
        <w:t xml:space="preserve"> </w:t>
      </w:r>
      <w:r w:rsidR="00DA6271">
        <w:t xml:space="preserve">conservative </w:t>
      </w:r>
      <w:r w:rsidR="00870A6A">
        <w:t xml:space="preserve">criteria </w:t>
      </w:r>
      <w:r w:rsidR="00DA6271">
        <w:t xml:space="preserve">has the advantage of having </w:t>
      </w:r>
      <w:r w:rsidR="00160B6B">
        <w:t xml:space="preserve">few </w:t>
      </w:r>
      <w:r w:rsidR="00DA6271">
        <w:t>parsimonious model</w:t>
      </w:r>
      <w:r w:rsidR="00870A6A">
        <w:t>s</w:t>
      </w:r>
      <w:r w:rsidR="00DA6271">
        <w:t xml:space="preserve"> for inference </w:t>
      </w:r>
      <w:r w:rsidR="00DA6271">
        <w:fldChar w:fldCharType="begin"/>
      </w:r>
      <w:r w:rsidR="00DA6271">
        <w:instrText xml:space="preserve"> ADDIN ZOTERO_ITEM CSL_CITATION {"citationID":"XuW91bXs","properties":{"formattedCitation":"(Richards, 2008)","plainCitation":"(Richards, 2008)","noteIndex":0},"citationItems":[{"id":11349,"uris":["http://zotero.org/users/6403124/items/97AI2NKU"],"itemData":{"id":11349,"type":"article-journal","abstract":"1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A."}],"issued":{"date-parts":[["2008"]]}}}],"schema":"https://github.com/citation-style-language/schema/raw/master/csl-citation.json"} </w:instrText>
      </w:r>
      <w:r w:rsidR="00DA6271">
        <w:fldChar w:fldCharType="separate"/>
      </w:r>
      <w:r w:rsidR="00DA6271" w:rsidRPr="00DA6271">
        <w:rPr>
          <w:rFonts w:ascii="Calibri" w:hAnsi="Calibri" w:cs="Calibri"/>
        </w:rPr>
        <w:t>(Richards, 2008)</w:t>
      </w:r>
      <w:r w:rsidR="00DA6271">
        <w:fldChar w:fldCharType="end"/>
      </w:r>
      <w:r w:rsidR="0093423C">
        <w:t>.</w:t>
      </w:r>
      <w:r w:rsidR="009043AB">
        <w:t xml:space="preserve"> We then took the natural average of the resulting models to seek possible ecological </w:t>
      </w:r>
      <w:r w:rsidR="00870A6A">
        <w:t>trends</w:t>
      </w:r>
      <w:r w:rsidR="007D191B">
        <w:t xml:space="preserve"> </w:t>
      </w:r>
      <w:r w:rsidR="007D191B">
        <w:fldChar w:fldCharType="begin"/>
      </w:r>
      <w:r w:rsidR="007D191B">
        <w:instrText xml:space="preserve"> ADDIN ZOTERO_ITEM CSL_CITATION {"citationID":"RTwFrmjV","properties":{"formattedCitation":"(Burnham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7D191B">
        <w:fldChar w:fldCharType="separate"/>
      </w:r>
      <w:r w:rsidR="007D191B" w:rsidRPr="007D191B">
        <w:rPr>
          <w:rFonts w:ascii="Calibri" w:hAnsi="Calibri" w:cs="Calibri"/>
        </w:rPr>
        <w:t>(Burnham and Anderson, 2002)</w:t>
      </w:r>
      <w:r w:rsidR="007D191B">
        <w:fldChar w:fldCharType="end"/>
      </w:r>
      <w:r w:rsidR="009043AB">
        <w:t>.</w:t>
      </w:r>
      <w:r w:rsidR="0048039B">
        <w:rPr>
          <w:rFonts w:hint="eastAsia"/>
        </w:rPr>
        <w:t xml:space="preserve"> </w:t>
      </w:r>
    </w:p>
    <w:p w14:paraId="35D514B3" w14:textId="69553738" w:rsidR="00FE5EDA" w:rsidRDefault="0048039B" w:rsidP="0017616C">
      <w:r>
        <w:rPr>
          <w:rFonts w:hint="eastAsia"/>
        </w:rPr>
        <w:t>E</w:t>
      </w:r>
      <w:r w:rsidR="00FE5EDA">
        <w:t>nvironmental</w:t>
      </w:r>
      <w:r w:rsidR="00B66926">
        <w:rPr>
          <w:rFonts w:hint="eastAsia"/>
        </w:rPr>
        <w:t xml:space="preserve"> v</w:t>
      </w:r>
      <w:r w:rsidR="00B66926">
        <w:t xml:space="preserve">ariables were fitted on </w:t>
      </w:r>
      <w:r w:rsidR="00FE5EDA">
        <w:t xml:space="preserve">macrofauna </w:t>
      </w:r>
      <w:r w:rsidR="007A21DD">
        <w:t xml:space="preserve">abundance </w:t>
      </w:r>
      <w:r w:rsidR="00FE5EDA">
        <w:t>composition</w:t>
      </w:r>
      <w:r w:rsidR="007A21DD">
        <w:t>, biomass composition</w:t>
      </w:r>
      <w:r w:rsidR="00FE5EDA">
        <w:t xml:space="preserve">, abundance, biomass, and </w:t>
      </w:r>
      <w:r w:rsidR="00B32EEB">
        <w:t>TOU</w:t>
      </w:r>
      <w:r w:rsidR="00FE5EDA">
        <w:t xml:space="preserve"> </w:t>
      </w:r>
      <w:r w:rsidR="00B66926">
        <w:t xml:space="preserve">to </w:t>
      </w:r>
      <w:r>
        <w:rPr>
          <w:rFonts w:hint="eastAsia"/>
        </w:rPr>
        <w:t>i</w:t>
      </w:r>
      <w:r>
        <w:t>dentif</w:t>
      </w:r>
      <w:r w:rsidR="00B66926">
        <w:t>y</w:t>
      </w:r>
      <w:r>
        <w:t xml:space="preserve"> </w:t>
      </w:r>
      <w:r w:rsidR="00B66926">
        <w:t>potential drivers</w:t>
      </w:r>
      <w:r w:rsidR="00FE5EDA">
        <w:t xml:space="preserve">, except that we </w:t>
      </w:r>
      <w:r w:rsidR="002275A8">
        <w:t>assum</w:t>
      </w:r>
      <w:r w:rsidR="007A21DD">
        <w:t xml:space="preserve">e </w:t>
      </w:r>
      <w:r w:rsidR="002275A8">
        <w:t xml:space="preserve">no </w:t>
      </w:r>
      <w:r w:rsidR="00FE5EDA">
        <w:t>interaction</w:t>
      </w:r>
      <w:r w:rsidR="007A21DD">
        <w:t>s between those variables</w:t>
      </w:r>
      <w:r w:rsidR="00FE5EDA">
        <w:t>.</w:t>
      </w:r>
      <w:r w:rsidR="007A21DD">
        <w:t xml:space="preserve"> Redundancy analysis (RDA) with p-value-based backward selection were used to retain a set of environmental variables that best described the compositional data. </w:t>
      </w:r>
      <w:r w:rsidR="00014B2B">
        <w:t>Sim</w:t>
      </w:r>
      <w:r w:rsidR="00BC1CDE">
        <w:t>i</w:t>
      </w:r>
      <w:r w:rsidR="00014B2B">
        <w:t>lar to what we described above, m</w:t>
      </w:r>
      <w:r w:rsidR="007A21DD">
        <w:t xml:space="preserve">acrofauna abundance, biomass, and </w:t>
      </w:r>
      <w:r w:rsidR="00260380">
        <w:t>TOU</w:t>
      </w:r>
      <w:r w:rsidR="007A21DD">
        <w:t xml:space="preserve"> were also fitted with environmental variables with simple linear regression under a </w:t>
      </w:r>
      <w:proofErr w:type="spellStart"/>
      <w:r w:rsidR="007A21DD">
        <w:t>multimodel</w:t>
      </w:r>
      <w:proofErr w:type="spellEnd"/>
      <w:r w:rsidR="007A21DD">
        <w:t xml:space="preserve"> framework.</w:t>
      </w:r>
    </w:p>
    <w:p w14:paraId="1C089ABA" w14:textId="6161F823" w:rsidR="0037699D" w:rsidRDefault="0037699D" w:rsidP="00577380">
      <w:pPr>
        <w:pStyle w:val="Title1"/>
      </w:pPr>
      <w:r>
        <w:t>Results</w:t>
      </w:r>
    </w:p>
    <w:p w14:paraId="0665AD0F" w14:textId="7B33A8A5" w:rsidR="004E22B6" w:rsidRDefault="004E22B6" w:rsidP="00577380">
      <w:pPr>
        <w:pStyle w:val="Title2"/>
      </w:pPr>
      <w:r w:rsidRPr="004E22B6">
        <w:t>Environmental condition</w:t>
      </w:r>
      <w:r w:rsidR="000A038A">
        <w:t xml:space="preserve"> and macrofauna </w:t>
      </w:r>
    </w:p>
    <w:p w14:paraId="0B996B1B" w14:textId="5EED62EE" w:rsidR="00BD17AD" w:rsidRDefault="00BD17AD" w:rsidP="00D96252">
      <w:r>
        <w:lastRenderedPageBreak/>
        <w:t>PC1 and PC1 of the environmental variables explained 36.6 and 25.6</w:t>
      </w:r>
      <w:r>
        <w:rPr>
          <w:rFonts w:hint="eastAsia"/>
        </w:rPr>
        <w:t xml:space="preserve">% </w:t>
      </w:r>
      <w:r>
        <w:t>of the total variation</w:t>
      </w:r>
      <w:r w:rsidR="00C32BE3">
        <w:t xml:space="preserve"> </w:t>
      </w:r>
      <w:r w:rsidR="00C32BE3" w:rsidRPr="00C32BE3">
        <w:rPr>
          <w:color w:val="FF0000"/>
        </w:rPr>
        <w:t>(figure 2)</w:t>
      </w:r>
      <w:r>
        <w:t>.</w:t>
      </w:r>
      <w:r w:rsidR="00DB5057">
        <w:t xml:space="preserve"> PC1 was loaded with high contributions of Temp, </w:t>
      </w:r>
      <w:proofErr w:type="spellStart"/>
      <w:r w:rsidR="00DB5057">
        <w:t>Fluo</w:t>
      </w:r>
      <w:proofErr w:type="spellEnd"/>
      <w:r w:rsidR="00DB5057">
        <w:t xml:space="preserve">, </w:t>
      </w:r>
      <w:proofErr w:type="spellStart"/>
      <w:r w:rsidR="00DB5057">
        <w:t>Chla</w:t>
      </w:r>
      <w:proofErr w:type="spellEnd"/>
      <w:r w:rsidR="00DB5057">
        <w:t>, and CN. PC2 was loaded with TOC, Por, and D50.</w:t>
      </w:r>
      <w:r w:rsidR="007D36E0">
        <w:t xml:space="preserve"> Shallower stations of OR1-1242 (S2, S3, S6, and </w:t>
      </w:r>
      <w:r w:rsidR="007D36E0">
        <w:rPr>
          <w:rFonts w:hint="eastAsia"/>
        </w:rPr>
        <w:t>S</w:t>
      </w:r>
      <w:r w:rsidR="007D36E0">
        <w:t>7) were aggregated at the right-hand side of the PCA figure, while deeper stations in OR1-1242 and all stations in OR1-1219 aggregated at the left-hand side of the PCA.</w:t>
      </w:r>
    </w:p>
    <w:p w14:paraId="586EC483" w14:textId="0B88D793" w:rsidR="00B32EEB" w:rsidRDefault="00E0490B" w:rsidP="00577380">
      <w:pPr>
        <w:pStyle w:val="Title2"/>
      </w:pPr>
      <w:r>
        <w:t>Spatiotemporal patterns and environmental drivers of macrofauna composition</w:t>
      </w:r>
    </w:p>
    <w:p w14:paraId="1BC2E278" w14:textId="1593C834" w:rsidR="00C32BE3" w:rsidRDefault="00551EC8" w:rsidP="00BF3177">
      <w:proofErr w:type="spellStart"/>
      <w:r>
        <w:rPr>
          <w:rFonts w:hint="eastAsia"/>
        </w:rPr>
        <w:t>Po</w:t>
      </w:r>
      <w:r>
        <w:t>lychaetes</w:t>
      </w:r>
      <w:proofErr w:type="spellEnd"/>
      <w:r>
        <w:t xml:space="preserve"> dominates the abundance </w:t>
      </w:r>
      <w:r w:rsidR="00BF3177" w:rsidRPr="001D585C">
        <w:rPr>
          <w:color w:val="FF0000"/>
        </w:rPr>
        <w:t>(figure 3)</w:t>
      </w:r>
      <w:r w:rsidR="00BF3177">
        <w:t>.</w:t>
      </w:r>
    </w:p>
    <w:p w14:paraId="41838ED0" w14:textId="6F14A3E5" w:rsidR="00BF3177" w:rsidRDefault="00BF3177" w:rsidP="00BF3177">
      <w:r>
        <w:rPr>
          <w:rFonts w:hint="eastAsia"/>
        </w:rPr>
        <w:t>PERMANOVA r</w:t>
      </w:r>
      <w:r>
        <w:t>esults on macrofauna abundance composition</w:t>
      </w:r>
      <w:r w:rsidR="001D585C">
        <w:t xml:space="preserve"> </w:t>
      </w:r>
      <w:r w:rsidR="001D585C" w:rsidRPr="001D585C">
        <w:rPr>
          <w:color w:val="FF0000"/>
        </w:rPr>
        <w:t>(</w:t>
      </w:r>
      <w:proofErr w:type="gramStart"/>
      <w:r w:rsidR="001D585C" w:rsidRPr="001D585C">
        <w:rPr>
          <w:color w:val="FF0000"/>
        </w:rPr>
        <w:t>Table )</w:t>
      </w:r>
      <w:proofErr w:type="gramEnd"/>
      <w:r w:rsidR="001D585C" w:rsidRPr="001D585C">
        <w:t>.</w:t>
      </w:r>
    </w:p>
    <w:p w14:paraId="24DD7A51" w14:textId="6FAED91E" w:rsidR="00BF3177" w:rsidRDefault="00BF3177" w:rsidP="00BF3177">
      <w:pPr>
        <w:rPr>
          <w:rFonts w:hint="eastAsia"/>
        </w:rPr>
      </w:pPr>
      <w:r>
        <w:t xml:space="preserve">PC1 and PC2 of the macrofauna abundance composition explained 18.14 and 15.94% of the total variation </w:t>
      </w:r>
      <w:r w:rsidRPr="001D585C">
        <w:rPr>
          <w:color w:val="FF0000"/>
        </w:rPr>
        <w:t>(figure 4a)</w:t>
      </w:r>
      <w:r>
        <w:t>.</w:t>
      </w:r>
      <w:r w:rsidR="00551EC8">
        <w:rPr>
          <w:rFonts w:hint="eastAsia"/>
        </w:rPr>
        <w:t xml:space="preserve"> </w:t>
      </w:r>
      <w:r w:rsidR="002A22B0">
        <w:t>More the 40% of the variation of p</w:t>
      </w:r>
      <w:r w:rsidR="00551EC8">
        <w:t xml:space="preserve">eracarids (isopods, </w:t>
      </w:r>
      <w:proofErr w:type="spellStart"/>
      <w:r w:rsidR="00551EC8">
        <w:t>tanaids</w:t>
      </w:r>
      <w:proofErr w:type="spellEnd"/>
      <w:r w:rsidR="00551EC8">
        <w:t xml:space="preserve">, and amphipods), </w:t>
      </w:r>
      <w:proofErr w:type="spellStart"/>
      <w:r w:rsidR="00551EC8">
        <w:t>aplacophorans</w:t>
      </w:r>
      <w:proofErr w:type="spellEnd"/>
      <w:r w:rsidR="00551EC8">
        <w:t xml:space="preserve">, and hydroids </w:t>
      </w:r>
      <w:r w:rsidR="002A22B0">
        <w:t xml:space="preserve">were explained in the first two PCs. The distribution of the samples </w:t>
      </w:r>
      <w:proofErr w:type="gramStart"/>
      <w:r w:rsidR="002A22B0">
        <w:t>were</w:t>
      </w:r>
      <w:proofErr w:type="gramEnd"/>
      <w:r w:rsidR="002A22B0">
        <w:t xml:space="preserve"> less clear</w:t>
      </w:r>
    </w:p>
    <w:p w14:paraId="0390FB28" w14:textId="05C1545C" w:rsidR="00BF3177" w:rsidRDefault="00BF3177" w:rsidP="00BF3177">
      <w:r>
        <w:t>PC1 and PC2 of the macrofauna biomass composition explained 20.57 and 13.69% of the total variation (figure 4b).</w:t>
      </w:r>
      <w:r w:rsidR="00551EC8">
        <w:t xml:space="preserve"> </w:t>
      </w:r>
      <w:r w:rsidR="002A22B0">
        <w:t xml:space="preserve">More the 40% of the variation of </w:t>
      </w:r>
      <w:proofErr w:type="spellStart"/>
      <w:r w:rsidR="002A22B0">
        <w:t>a</w:t>
      </w:r>
      <w:r w:rsidR="00551EC8">
        <w:t>placophorans</w:t>
      </w:r>
      <w:proofErr w:type="spellEnd"/>
      <w:r w:rsidR="00551EC8">
        <w:t xml:space="preserve">, mysids, ophiuroids, and decapods were explained </w:t>
      </w:r>
      <w:r w:rsidR="002A22B0">
        <w:t xml:space="preserve">by </w:t>
      </w:r>
      <w:r w:rsidR="00551EC8">
        <w:t>the first two PCs</w:t>
      </w:r>
      <w:r w:rsidR="002A22B0">
        <w:t>. T</w:t>
      </w:r>
      <w:r w:rsidR="00551EC8">
        <w:t>he distribution of samples greatly corresponds with the taxa vectors.</w:t>
      </w:r>
      <w:r w:rsidR="002A22B0">
        <w:t xml:space="preserve"> The samples of most sites in OR1-1219 and deeper sites in OR1-1242 (S1, S5) are characterized with high contributions of </w:t>
      </w:r>
      <w:proofErr w:type="spellStart"/>
      <w:r w:rsidR="002A22B0">
        <w:t>ophiuriods</w:t>
      </w:r>
      <w:proofErr w:type="spellEnd"/>
      <w:r w:rsidR="002A22B0">
        <w:t xml:space="preserve"> and </w:t>
      </w:r>
      <w:proofErr w:type="spellStart"/>
      <w:r w:rsidR="002A22B0">
        <w:t>aplacophorans</w:t>
      </w:r>
      <w:proofErr w:type="spellEnd"/>
      <w:r w:rsidR="002A22B0">
        <w:t xml:space="preserve">. Shallower sites in OR1-1242 (S2, S3, S6, and S7) are characterized with </w:t>
      </w:r>
      <w:r w:rsidR="00010A81">
        <w:t>high contributions of mysids and decapods.</w:t>
      </w:r>
    </w:p>
    <w:p w14:paraId="64CDFF8C" w14:textId="20ED9D16" w:rsidR="001D585C" w:rsidRDefault="001D585C" w:rsidP="00BF3177">
      <w:r>
        <w:t xml:space="preserve">RDA explained 31.44% of macrofauna abundance composition’s variation, while RDA1 and RDA2 explained 40.85 and 27.65% of that variance, respectively </w:t>
      </w:r>
      <w:r w:rsidRPr="001D585C">
        <w:rPr>
          <w:color w:val="FF0000"/>
        </w:rPr>
        <w:t>(figure 5a)</w:t>
      </w:r>
      <w:r>
        <w:t>.</w:t>
      </w:r>
      <w:r w:rsidR="00432FDF">
        <w:t xml:space="preserve"> </w:t>
      </w:r>
      <w:r w:rsidR="00432FDF" w:rsidRPr="00432FDF">
        <w:rPr>
          <w:i/>
        </w:rPr>
        <w:t>D50</w:t>
      </w:r>
      <w:r w:rsidR="00432FDF">
        <w:t>,</w:t>
      </w:r>
      <w:r w:rsidR="00432FDF" w:rsidRPr="00432FDF">
        <w:rPr>
          <w:i/>
        </w:rPr>
        <w:t xml:space="preserve"> 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 More than 40% of the variation of oligochaetes, mysids, and </w:t>
      </w:r>
      <w:proofErr w:type="spellStart"/>
      <w:r w:rsidR="00432FDF">
        <w:t>aplacophorans</w:t>
      </w:r>
      <w:proofErr w:type="spellEnd"/>
      <w:r w:rsidR="00432FDF">
        <w:t xml:space="preserve"> were explained </w:t>
      </w:r>
      <w:r w:rsidR="00432FDF">
        <w:lastRenderedPageBreak/>
        <w:t>by the first two RDA axes.</w:t>
      </w:r>
    </w:p>
    <w:p w14:paraId="37FB7235" w14:textId="5AB2F2D8" w:rsidR="00DD5A12" w:rsidRPr="004E22B6" w:rsidRDefault="00DD5A12" w:rsidP="00BF3177">
      <w:r>
        <w:t>RDA explained 3</w:t>
      </w:r>
      <w:r w:rsidR="00432FDF">
        <w:t>4</w:t>
      </w:r>
      <w:r>
        <w:t>.</w:t>
      </w:r>
      <w:r w:rsidR="00432FDF">
        <w:t>35</w:t>
      </w:r>
      <w:r>
        <w:t xml:space="preserve">% of macrofauna </w:t>
      </w:r>
      <w:r w:rsidR="00432FDF">
        <w:t xml:space="preserve">biomass </w:t>
      </w:r>
      <w:r>
        <w:t>composition’s variation, while RDA1 and RDA2 explained 4</w:t>
      </w:r>
      <w:r w:rsidR="00432FDF">
        <w:t>3</w:t>
      </w:r>
      <w:r>
        <w:t>.</w:t>
      </w:r>
      <w:r w:rsidR="00432FDF">
        <w:t>02</w:t>
      </w:r>
      <w:r>
        <w:t xml:space="preserve"> and 2</w:t>
      </w:r>
      <w:r w:rsidR="00432FDF">
        <w:t>6.04</w:t>
      </w:r>
      <w:r>
        <w:t xml:space="preserve">% of that variance, respectively </w:t>
      </w:r>
      <w:r w:rsidRPr="001D585C">
        <w:rPr>
          <w:color w:val="FF0000"/>
        </w:rPr>
        <w:t>(figure 5</w:t>
      </w:r>
      <w:r w:rsidR="00432FDF">
        <w:rPr>
          <w:color w:val="FF0000"/>
        </w:rPr>
        <w:t>b</w:t>
      </w:r>
      <w:r w:rsidRPr="001D585C">
        <w:rPr>
          <w:color w:val="FF0000"/>
        </w:rPr>
        <w:t>)</w:t>
      </w:r>
      <w:r>
        <w:t>.</w:t>
      </w:r>
      <w:r w:rsidR="00432FDF">
        <w:t xml:space="preserve"> </w:t>
      </w:r>
      <w:r w:rsidR="00432FDF" w:rsidRPr="00432FDF">
        <w:rPr>
          <w:i/>
        </w:rPr>
        <w:t>D50</w:t>
      </w:r>
      <w:r w:rsidR="00432FDF">
        <w:t>,</w:t>
      </w:r>
      <w:r w:rsidR="00432FDF" w:rsidRPr="00432FDF">
        <w:rPr>
          <w:i/>
        </w:rPr>
        <w:t xml:space="preserve"> </w:t>
      </w:r>
      <w:r w:rsidR="00432FDF">
        <w:rPr>
          <w:i/>
        </w:rPr>
        <w:t xml:space="preserve">Temp, </w:t>
      </w:r>
      <w:r w:rsidR="00432FDF" w:rsidRPr="00432FDF">
        <w:rPr>
          <w:i/>
        </w:rPr>
        <w:t>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w:t>
      </w:r>
      <w:r w:rsidR="00376BD4">
        <w:t xml:space="preserve"> </w:t>
      </w:r>
      <w:r w:rsidR="00376BD4" w:rsidRPr="00376BD4">
        <w:rPr>
          <w:i/>
        </w:rPr>
        <w:t>Temp</w:t>
      </w:r>
      <w:bookmarkStart w:id="6" w:name="_GoBack"/>
      <w:bookmarkEnd w:id="6"/>
      <w:r w:rsidR="00376BD4">
        <w:rPr>
          <w:rFonts w:hint="eastAsia"/>
        </w:rPr>
        <w:t>,</w:t>
      </w:r>
      <w:r w:rsidR="00376BD4">
        <w:t xml:space="preserve"> </w:t>
      </w:r>
      <w:r w:rsidR="00376BD4" w:rsidRPr="00376BD4">
        <w:rPr>
          <w:i/>
        </w:rPr>
        <w:t>TOC</w:t>
      </w:r>
      <w:r w:rsidR="00376BD4">
        <w:t xml:space="preserve">, </w:t>
      </w:r>
      <w:proofErr w:type="spellStart"/>
      <w:r w:rsidR="00376BD4" w:rsidRPr="00376BD4">
        <w:rPr>
          <w:i/>
        </w:rPr>
        <w:t>Chla</w:t>
      </w:r>
      <w:proofErr w:type="spellEnd"/>
      <w:r w:rsidR="00376BD4">
        <w:t xml:space="preserve">, and </w:t>
      </w:r>
      <w:r w:rsidR="00376BD4" w:rsidRPr="00376BD4">
        <w:rPr>
          <w:i/>
        </w:rPr>
        <w:t>CN</w:t>
      </w:r>
      <w:r w:rsidR="00376BD4">
        <w:rPr>
          <w:i/>
        </w:rPr>
        <w:t xml:space="preserve"> </w:t>
      </w:r>
      <w:r w:rsidR="00376BD4">
        <w:t>contributed greatly in RDA1, while D50 and Por contributed greatly in RDA2.</w:t>
      </w:r>
      <w:r w:rsidR="006669F5">
        <w:t xml:space="preserve"> More than 40% of the variation of Decapods, mysids, and </w:t>
      </w:r>
      <w:proofErr w:type="spellStart"/>
      <w:r w:rsidR="006669F5">
        <w:t>aplacophorans</w:t>
      </w:r>
      <w:proofErr w:type="spellEnd"/>
      <w:r w:rsidR="006669F5">
        <w:t xml:space="preserve"> were explained by the first two RDA axes.</w:t>
      </w:r>
    </w:p>
    <w:p w14:paraId="091DA045" w14:textId="495BA805" w:rsidR="004E22B6" w:rsidRDefault="00E15B6A" w:rsidP="00577380">
      <w:pPr>
        <w:pStyle w:val="Title2"/>
      </w:pPr>
      <w:r>
        <w:t>Spatiotemporal patterns and environmental drivers of macrofauna abundance, biomass, and TOU</w:t>
      </w:r>
    </w:p>
    <w:p w14:paraId="5C49AC38" w14:textId="60A24082" w:rsidR="00DE2978" w:rsidRDefault="00DE2978" w:rsidP="00DE2978">
      <w:r>
        <w:t xml:space="preserve">The model average results of spatiotemporal variables generally echoed with the scatter plot </w:t>
      </w:r>
      <w:r w:rsidRPr="00DE2978">
        <w:rPr>
          <w:color w:val="FF0000"/>
        </w:rPr>
        <w:t>(figure 6)</w:t>
      </w:r>
      <w:r>
        <w:t xml:space="preserve">. </w:t>
      </w:r>
    </w:p>
    <w:p w14:paraId="4B919344" w14:textId="389F13E8" w:rsidR="00376BD4" w:rsidRDefault="00376BD4" w:rsidP="00376BD4">
      <w:pPr>
        <w:pStyle w:val="a3"/>
        <w:numPr>
          <w:ilvl w:val="0"/>
          <w:numId w:val="9"/>
        </w:numPr>
      </w:pPr>
      <w:r>
        <w:t>Number of models in the top model set</w:t>
      </w:r>
    </w:p>
    <w:p w14:paraId="49CB8139" w14:textId="605E8B06" w:rsidR="00376BD4" w:rsidRDefault="00376BD4" w:rsidP="00376BD4">
      <w:pPr>
        <w:pStyle w:val="a3"/>
        <w:numPr>
          <w:ilvl w:val="0"/>
          <w:numId w:val="9"/>
        </w:numPr>
      </w:pPr>
      <w:r>
        <w:t xml:space="preserve">Significant/ </w:t>
      </w:r>
      <w:proofErr w:type="spellStart"/>
      <w:proofErr w:type="gramStart"/>
      <w:r>
        <w:t>non significant</w:t>
      </w:r>
      <w:proofErr w:type="spellEnd"/>
      <w:proofErr w:type="gramEnd"/>
      <w:r>
        <w:t xml:space="preserve"> variables</w:t>
      </w:r>
    </w:p>
    <w:p w14:paraId="26085486" w14:textId="77777777" w:rsidR="00376BD4" w:rsidRPr="004E22B6" w:rsidRDefault="00376BD4" w:rsidP="00376BD4">
      <w:pPr>
        <w:pStyle w:val="a3"/>
        <w:numPr>
          <w:ilvl w:val="0"/>
          <w:numId w:val="9"/>
        </w:numPr>
      </w:pPr>
    </w:p>
    <w:p w14:paraId="11249F6D" w14:textId="730640B8" w:rsidR="0037699D" w:rsidRDefault="0037699D" w:rsidP="00577380">
      <w:pPr>
        <w:pStyle w:val="Title1"/>
      </w:pPr>
      <w:r>
        <w:t>Discussion</w:t>
      </w:r>
    </w:p>
    <w:p w14:paraId="51EDCF26" w14:textId="66A244FB" w:rsidR="0067188B" w:rsidRDefault="004E14CE" w:rsidP="00577380">
      <w:pPr>
        <w:pStyle w:val="Title2"/>
      </w:pPr>
      <w:r>
        <w:t>Study limitation</w:t>
      </w:r>
    </w:p>
    <w:p w14:paraId="7A3D48FE" w14:textId="7C9DC282" w:rsidR="00D866C2" w:rsidRDefault="00B86D10" w:rsidP="00D866C2">
      <w:r>
        <w:t xml:space="preserve">The estimated DOU in the present study might not be representative to in situ DOU. </w:t>
      </w:r>
      <w:r w:rsidR="001D0CAF" w:rsidRPr="001D0CAF">
        <w:t>DOU measurements in the present study were low</w:t>
      </w:r>
      <w:r w:rsidR="001D0CAF">
        <w:t xml:space="preserve"> in compare to other studies at similar habitats</w:t>
      </w:r>
      <w:r w:rsidR="001D0CAF" w:rsidRPr="001D0CAF">
        <w:t>.</w:t>
      </w:r>
      <w:r w:rsidR="001D0CAF">
        <w:rPr>
          <w:i/>
        </w:rPr>
        <w:t xml:space="preserve"> </w:t>
      </w:r>
      <w:r w:rsidR="00D866C2" w:rsidRPr="00D866C2">
        <w:rPr>
          <w:i/>
        </w:rPr>
        <w:t>In situ</w:t>
      </w:r>
      <w:r w:rsidR="00D866C2">
        <w:t xml:space="preserve"> DOU measurements off the Rhone river have shown that oxygen profiles and </w:t>
      </w:r>
      <w:r w:rsidR="001D0CAF">
        <w:t xml:space="preserve">the </w:t>
      </w:r>
      <w:r w:rsidR="00D866C2">
        <w:t>estimated DOU can have huge variations within days after sediment resuspension events</w:t>
      </w:r>
      <w:r w:rsidR="001D0CAF">
        <w:t xml:space="preserve"> </w:t>
      </w:r>
      <w:r w:rsidR="001D0CAF">
        <w:fldChar w:fldCharType="begin"/>
      </w:r>
      <w:r w:rsidR="001D0CAF">
        <w:instrText xml:space="preserve"> ADDIN ZOTERO_ITEM CSL_CITATION {"citationID":"8l95GcJB","properties":{"formattedCitation":"(Toussaint et al., 2014)","plainCitation":"(Toussaint et al., 2014)","noteIndex":0},"citationItems":[{"id":9198,"uris":["http://zotero.org/users/6403124/items/RQ2FLWUT"],"itemData":{"id":9198,"type":"article-journal","abstract":"A new benthic station equipped with oxygen microelectrodes and environmental sensors was developed by Laboratoire des Sciences du Climat et de L'Environnement (LSCE) and Division Technique of the Institut National des Sciences de L'Univers (DT- INSU) to perform in situ time series monitoring of sediment oxygen demand, linked to the mineralization of organic matter. The time series typically cover periods of 2- 3 months, with a base frequency of 1 set of oxygen profiles per day. The profiling head assessed the lateral heterogeneity of the sediment oxygen demand at the beginning of the time series over a 0.8- m long rectangle to discriminate spatial and temporal variability. A continuous recalibration is performed using a moored oxygen optode anchored to the benthic station together with a set of environmental sensors. These sensors (turbidity, temperature, salinity, and oxygen) can trigger a high- frequency profiling mode to investigate the fate of particulate organic matter delivered during floods, resuspension, and deposition events. Deployments of the benthic station were performed in the Rhone River subaqueous delta (Mediterranean Sea). We show that “stable” periods (when neither floods nor storms occur) were characterized by a stable oxygen demand. In the case of resuspension events, an increase of the sediment oxygen demand by a factor of 2- 3 with a relaxation time of 1 day was observed, indicating that the new benthic station can adequately capture the impact of resuspension events on the oxygen demand in deltaic sediments.","container-title":"Limnology and Oceanography: Methods","DOI":"10.4319/lom.2014.12.729","ISSN":"1541-5856","issue":"11","language":"en","note":"_eprint: https://onlinelibrary.wiley.com/doi/pdf/10.4319/lom.2014.12.729","page":"729-741","source":"Wiley Online Library","title":"A new device to follow temporal variations of oxygen demand in deltaic sediments: the LSCE benthic station","title-short":"A new device to follow temporal variations of oxygen demand in deltaic sediments","volume":"12","author":[{"family":"Toussaint","given":"Flora"},{"family":"Rabouille","given":"Christophe"},{"family":"Cathalot","given":"Cécile"},{"family":"Bombled","given":"Bruno"},{"family":"Abchiche","given":"Abdel"},{"family":"Aouji","given":"Oualid"},{"family":"Buchholtz","given":"Gilles"},{"family":"Clemençon","given":"Aurélien"},{"family":"Geyskens","given":"Nicolas"},{"family":"Répécaud","given":"Michel"},{"family":"Pairaud","given":"Ivane"},{"family":"Verney","given":"Romaric"},{"family":"Tisnérat-Laborde","given":"Nadine"}],"issued":{"date-parts":[["2014"]]}}}],"schema":"https://github.com/citation-style-language/schema/raw/master/csl-citation.json"} </w:instrText>
      </w:r>
      <w:r w:rsidR="001D0CAF">
        <w:fldChar w:fldCharType="separate"/>
      </w:r>
      <w:r w:rsidR="001D0CAF" w:rsidRPr="001D0CAF">
        <w:rPr>
          <w:rFonts w:ascii="Calibri" w:hAnsi="Calibri" w:cs="Calibri"/>
        </w:rPr>
        <w:t>(Toussaint et al., 2014)</w:t>
      </w:r>
      <w:r w:rsidR="001D0CAF">
        <w:fldChar w:fldCharType="end"/>
      </w:r>
      <w:r w:rsidR="001D0CAF">
        <w:t>.</w:t>
      </w:r>
      <w:r w:rsidR="004E115B">
        <w:t xml:space="preserve"> The Gaoping Continental Shelf seafloor receiv</w:t>
      </w:r>
      <w:r w:rsidR="002817F5">
        <w:t>es</w:t>
      </w:r>
      <w:r w:rsidR="004E115B">
        <w:t xml:space="preserve"> inputs from the Gaoping River and </w:t>
      </w:r>
      <w:r w:rsidR="00060B99">
        <w:t xml:space="preserve">is </w:t>
      </w:r>
      <w:r w:rsidR="004E115B">
        <w:rPr>
          <w:rFonts w:hint="eastAsia"/>
        </w:rPr>
        <w:t>s</w:t>
      </w:r>
      <w:r w:rsidR="004E115B">
        <w:t>ubjected to tida</w:t>
      </w:r>
      <w:r w:rsidR="00E3699B">
        <w:t xml:space="preserve">l waves </w:t>
      </w:r>
      <w:r w:rsidR="004E115B">
        <w:fldChar w:fldCharType="begin"/>
      </w:r>
      <w:r w:rsidR="004E115B">
        <w:instrText xml:space="preserve"> ADDIN ZOTERO_ITEM CSL_CITATION {"citationID":"aUkIk2ih","properties":{"formattedCitation":"(Liu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rsidR="004E115B">
        <w:fldChar w:fldCharType="separate"/>
      </w:r>
      <w:r w:rsidR="004E115B" w:rsidRPr="004E115B">
        <w:rPr>
          <w:rFonts w:ascii="Calibri" w:hAnsi="Calibri" w:cs="Calibri"/>
        </w:rPr>
        <w:t>(Liu et al., 2002)</w:t>
      </w:r>
      <w:r w:rsidR="004E115B">
        <w:fldChar w:fldCharType="end"/>
      </w:r>
      <w:r w:rsidR="004E115B">
        <w:t xml:space="preserve">. </w:t>
      </w:r>
      <w:r w:rsidR="00060B99">
        <w:t>Transmission profile</w:t>
      </w:r>
      <w:r w:rsidR="00CE06A1">
        <w:t>s</w:t>
      </w:r>
      <w:r w:rsidR="00060B99">
        <w:t xml:space="preserve"> in OR1-1242 showed peaks near the </w:t>
      </w:r>
      <w:r w:rsidR="0050526C">
        <w:rPr>
          <w:rFonts w:hint="eastAsia"/>
        </w:rPr>
        <w:t>s</w:t>
      </w:r>
      <w:r w:rsidR="0050526C">
        <w:t xml:space="preserve">eafloor, indicating higher concentrations of suspended particles in the bottom water </w:t>
      </w:r>
      <w:r w:rsidR="00060B99" w:rsidRPr="00060B99">
        <w:rPr>
          <w:color w:val="FF0000"/>
        </w:rPr>
        <w:t xml:space="preserve">(CTD </w:t>
      </w:r>
      <w:r w:rsidR="00060B99" w:rsidRPr="00060B99">
        <w:rPr>
          <w:color w:val="FF0000"/>
        </w:rPr>
        <w:lastRenderedPageBreak/>
        <w:t>figure)</w:t>
      </w:r>
      <w:r w:rsidR="00060B99">
        <w:t xml:space="preserve">. </w:t>
      </w:r>
      <w:r w:rsidR="002C1ADA">
        <w:rPr>
          <w:rFonts w:hint="eastAsia"/>
        </w:rPr>
        <w:t>M</w:t>
      </w:r>
      <w:r w:rsidR="002C1ADA">
        <w:t>oreover, o</w:t>
      </w:r>
      <w:r w:rsidR="001D0CAF">
        <w:t xml:space="preserve">xygen profile measurements in the present study </w:t>
      </w:r>
      <w:r w:rsidR="001D0CAF">
        <w:t>were</w:t>
      </w:r>
      <w:r w:rsidR="001D0CAF">
        <w:t xml:space="preserve"> generally done more than 24 hours after retrieval</w:t>
      </w:r>
      <w:r w:rsidR="00060B99">
        <w:t xml:space="preserve">, meaning that the measured DOU might not </w:t>
      </w:r>
      <w:r w:rsidR="004561E1">
        <w:t>reveal in situ conditions</w:t>
      </w:r>
      <w:r w:rsidR="00D866C2">
        <w:t>.</w:t>
      </w:r>
      <w:r w:rsidR="00642701">
        <w:t xml:space="preserve"> W</w:t>
      </w:r>
      <w:r w:rsidR="00642701">
        <w:t>e</w:t>
      </w:r>
      <w:r w:rsidR="00642701">
        <w:t xml:space="preserve"> </w:t>
      </w:r>
      <w:r w:rsidR="00642701">
        <w:rPr>
          <w:rFonts w:hint="eastAsia"/>
        </w:rPr>
        <w:t>t</w:t>
      </w:r>
      <w:r w:rsidR="00642701">
        <w:t xml:space="preserve">herefore suggested that the DOU in the present study is systematically lower than the </w:t>
      </w:r>
      <w:proofErr w:type="gramStart"/>
      <w:r w:rsidR="00642701">
        <w:t>in situ</w:t>
      </w:r>
      <w:proofErr w:type="gramEnd"/>
      <w:r w:rsidR="00642701">
        <w:t xml:space="preserve"> DOU at core </w:t>
      </w:r>
      <w:proofErr w:type="spellStart"/>
      <w:r w:rsidR="00642701">
        <w:t>retrevial</w:t>
      </w:r>
      <w:proofErr w:type="spellEnd"/>
      <w:r w:rsidR="00642701">
        <w:t>.</w:t>
      </w:r>
      <w:r w:rsidR="00D866C2">
        <w:t xml:space="preserve"> We warn that incubation experiments might stabilize the sediment, lowering the measured DOU, yielding erroneously high BOUs as a result.</w:t>
      </w:r>
      <w:r w:rsidR="00161035">
        <w:t xml:space="preserve"> Also, future studies should specify when their oxygen profiles were measured.</w:t>
      </w:r>
    </w:p>
    <w:p w14:paraId="00C5E7B0" w14:textId="311D3B39" w:rsidR="005B0207" w:rsidRDefault="00F821DB" w:rsidP="00577380">
      <w:pPr>
        <w:pStyle w:val="Title2"/>
      </w:pPr>
      <w:r>
        <w:t>Environmental patterns in the Gaoping Continental Shelf</w:t>
      </w:r>
    </w:p>
    <w:p w14:paraId="4975CEE6" w14:textId="01768F7A" w:rsidR="009D15E0" w:rsidRDefault="00D866C2" w:rsidP="009D15E0">
      <w:r>
        <w:t>The distribution of the samples in both RDAs showed similar patterns, s</w:t>
      </w:r>
      <w:r w:rsidR="009D15E0">
        <w:t xml:space="preserve">uggesting that environmental changes alters </w:t>
      </w:r>
      <w:r>
        <w:t>in macrofauna abundance and biomass compositions.</w:t>
      </w:r>
    </w:p>
    <w:p w14:paraId="65880082" w14:textId="766E353E" w:rsidR="0067188B" w:rsidRDefault="0037699D" w:rsidP="00577380">
      <w:pPr>
        <w:pStyle w:val="Title1"/>
      </w:pPr>
      <w:r w:rsidRPr="004E22B6">
        <w:t>Conclusions</w:t>
      </w:r>
    </w:p>
    <w:p w14:paraId="64F1B64B" w14:textId="29F8D2C3" w:rsidR="0067188B" w:rsidRDefault="0037699D" w:rsidP="00577380">
      <w:pPr>
        <w:pStyle w:val="Title1"/>
      </w:pPr>
      <w:r>
        <w:t>Acknowledgements</w:t>
      </w:r>
    </w:p>
    <w:p w14:paraId="49BA39C3" w14:textId="78BB9F4A" w:rsidR="005B0207" w:rsidRDefault="005B0207" w:rsidP="00577380">
      <w:pPr>
        <w:pStyle w:val="Title1"/>
      </w:pPr>
      <w:r>
        <w:t>References</w:t>
      </w:r>
    </w:p>
    <w:p w14:paraId="26E36151" w14:textId="77777777" w:rsidR="004E115B" w:rsidRPr="004E115B" w:rsidRDefault="005B0207" w:rsidP="004E115B">
      <w:pPr>
        <w:pStyle w:val="af0"/>
        <w:rPr>
          <w:rFonts w:ascii="Calibri" w:hAnsi="Calibri" w:cs="Calibri"/>
        </w:rPr>
      </w:pPr>
      <w:r>
        <w:fldChar w:fldCharType="begin"/>
      </w:r>
      <w:r>
        <w:instrText xml:space="preserve"> ADDIN ZOTERO_BIBL {"uncited":[],"omitted":[],"custom":[]} CSL_BIBLIOGRAPHY </w:instrText>
      </w:r>
      <w:r>
        <w:fldChar w:fldCharType="separate"/>
      </w:r>
      <w:proofErr w:type="spellStart"/>
      <w:r w:rsidR="004E115B" w:rsidRPr="004E115B">
        <w:rPr>
          <w:rFonts w:ascii="Calibri" w:hAnsi="Calibri" w:cs="Calibri"/>
        </w:rPr>
        <w:t>Akoumianaki</w:t>
      </w:r>
      <w:proofErr w:type="spellEnd"/>
      <w:r w:rsidR="004E115B" w:rsidRPr="004E115B">
        <w:rPr>
          <w:rFonts w:ascii="Calibri" w:hAnsi="Calibri" w:cs="Calibri"/>
        </w:rPr>
        <w:t xml:space="preserve">, I., </w:t>
      </w:r>
      <w:proofErr w:type="spellStart"/>
      <w:r w:rsidR="004E115B" w:rsidRPr="004E115B">
        <w:rPr>
          <w:rFonts w:ascii="Calibri" w:hAnsi="Calibri" w:cs="Calibri"/>
        </w:rPr>
        <w:t>Nicolaidou</w:t>
      </w:r>
      <w:proofErr w:type="spellEnd"/>
      <w:r w:rsidR="004E115B" w:rsidRPr="004E115B">
        <w:rPr>
          <w:rFonts w:ascii="Calibri" w:hAnsi="Calibri" w:cs="Calibri"/>
        </w:rPr>
        <w:t>, A., 2007. Spatial variability and dynamics of macrobenthos in a Mediterranean delta front area: The role of physical processes. Journal of Sea Research 57, 47–64. https://doi.org/10.1016/j.seares.2006.07.003</w:t>
      </w:r>
    </w:p>
    <w:p w14:paraId="7C191CE4" w14:textId="77777777" w:rsidR="004E115B" w:rsidRPr="004E115B" w:rsidRDefault="004E115B" w:rsidP="004E115B">
      <w:pPr>
        <w:pStyle w:val="af0"/>
        <w:rPr>
          <w:rFonts w:ascii="Calibri" w:hAnsi="Calibri" w:cs="Calibri"/>
        </w:rPr>
      </w:pPr>
      <w:proofErr w:type="spellStart"/>
      <w:r w:rsidRPr="004E115B">
        <w:rPr>
          <w:rFonts w:ascii="Calibri" w:hAnsi="Calibri" w:cs="Calibri"/>
        </w:rPr>
        <w:t>Akoumianaki</w:t>
      </w:r>
      <w:proofErr w:type="spellEnd"/>
      <w:r w:rsidRPr="004E115B">
        <w:rPr>
          <w:rFonts w:ascii="Calibri" w:hAnsi="Calibri" w:cs="Calibri"/>
        </w:rPr>
        <w:t xml:space="preserve">, I., </w:t>
      </w:r>
      <w:proofErr w:type="spellStart"/>
      <w:r w:rsidRPr="004E115B">
        <w:rPr>
          <w:rFonts w:ascii="Calibri" w:hAnsi="Calibri" w:cs="Calibri"/>
        </w:rPr>
        <w:t>Papaspyrou</w:t>
      </w:r>
      <w:proofErr w:type="spellEnd"/>
      <w:r w:rsidRPr="004E115B">
        <w:rPr>
          <w:rFonts w:ascii="Calibri" w:hAnsi="Calibri" w:cs="Calibri"/>
        </w:rPr>
        <w:t xml:space="preserve">, S., Kormas, </w:t>
      </w:r>
      <w:proofErr w:type="spellStart"/>
      <w:r w:rsidRPr="004E115B">
        <w:rPr>
          <w:rFonts w:ascii="Calibri" w:hAnsi="Calibri" w:cs="Calibri"/>
        </w:rPr>
        <w:t>K.Ar</w:t>
      </w:r>
      <w:proofErr w:type="spellEnd"/>
      <w:r w:rsidRPr="004E115B">
        <w:rPr>
          <w:rFonts w:ascii="Calibri" w:hAnsi="Calibri" w:cs="Calibri"/>
        </w:rPr>
        <w:t xml:space="preserve">., </w:t>
      </w:r>
      <w:proofErr w:type="spellStart"/>
      <w:r w:rsidRPr="004E115B">
        <w:rPr>
          <w:rFonts w:ascii="Calibri" w:hAnsi="Calibri" w:cs="Calibri"/>
        </w:rPr>
        <w:t>Nicolaidou</w:t>
      </w:r>
      <w:proofErr w:type="spellEnd"/>
      <w:r w:rsidRPr="004E115B">
        <w:rPr>
          <w:rFonts w:ascii="Calibri" w:hAnsi="Calibri" w:cs="Calibri"/>
        </w:rPr>
        <w:t>, A., 2013. Environmental variation and macrofauna response in a coastal area influenced by land runoff. Estuarine, Coastal and Shelf Science, Estuarine and lagoon biodiversity and their natural goods and services 132, 34–44. https://doi.org/10.1016/j.ecss.2012.04.009</w:t>
      </w:r>
    </w:p>
    <w:p w14:paraId="6A764712" w14:textId="77777777" w:rsidR="004E115B" w:rsidRPr="004E115B" w:rsidRDefault="004E115B" w:rsidP="004E115B">
      <w:pPr>
        <w:pStyle w:val="af0"/>
        <w:rPr>
          <w:rFonts w:ascii="Calibri" w:hAnsi="Calibri" w:cs="Calibri"/>
          <w:lang w:val="da-DK"/>
        </w:rPr>
      </w:pPr>
      <w:proofErr w:type="spellStart"/>
      <w:r w:rsidRPr="004E115B">
        <w:rPr>
          <w:rFonts w:ascii="Calibri" w:hAnsi="Calibri" w:cs="Calibri"/>
        </w:rPr>
        <w:t>Akoumianaki</w:t>
      </w:r>
      <w:proofErr w:type="spellEnd"/>
      <w:r w:rsidRPr="004E115B">
        <w:rPr>
          <w:rFonts w:ascii="Calibri" w:hAnsi="Calibri" w:cs="Calibri"/>
        </w:rPr>
        <w:t xml:space="preserve">, I., </w:t>
      </w:r>
      <w:proofErr w:type="spellStart"/>
      <w:r w:rsidRPr="004E115B">
        <w:rPr>
          <w:rFonts w:ascii="Calibri" w:hAnsi="Calibri" w:cs="Calibri"/>
        </w:rPr>
        <w:t>Papaspyrou</w:t>
      </w:r>
      <w:proofErr w:type="spellEnd"/>
      <w:r w:rsidRPr="004E115B">
        <w:rPr>
          <w:rFonts w:ascii="Calibri" w:hAnsi="Calibri" w:cs="Calibri"/>
        </w:rPr>
        <w:t xml:space="preserve">, S., </w:t>
      </w:r>
      <w:proofErr w:type="spellStart"/>
      <w:r w:rsidRPr="004E115B">
        <w:rPr>
          <w:rFonts w:ascii="Calibri" w:hAnsi="Calibri" w:cs="Calibri"/>
        </w:rPr>
        <w:t>Nicolaidou</w:t>
      </w:r>
      <w:proofErr w:type="spellEnd"/>
      <w:r w:rsidRPr="004E115B">
        <w:rPr>
          <w:rFonts w:ascii="Calibri" w:hAnsi="Calibri" w:cs="Calibri"/>
        </w:rPr>
        <w:t xml:space="preserve">, A., 2006. Dynamics of macrofaunal body size in a deltaic environment. </w:t>
      </w:r>
      <w:r w:rsidRPr="004E115B">
        <w:rPr>
          <w:rFonts w:ascii="Calibri" w:hAnsi="Calibri" w:cs="Calibri"/>
          <w:lang w:val="da-DK"/>
        </w:rPr>
        <w:t>Mar. Ecol. Prog. Ser. 321, 55–66. https://doi.org/10.3354/meps321055</w:t>
      </w:r>
    </w:p>
    <w:p w14:paraId="56915B46" w14:textId="77777777" w:rsidR="004E115B" w:rsidRPr="004E115B" w:rsidRDefault="004E115B" w:rsidP="004E115B">
      <w:pPr>
        <w:pStyle w:val="af0"/>
        <w:rPr>
          <w:rFonts w:ascii="Calibri" w:hAnsi="Calibri" w:cs="Calibri"/>
        </w:rPr>
      </w:pPr>
      <w:r w:rsidRPr="004E115B">
        <w:rPr>
          <w:rFonts w:ascii="Calibri" w:hAnsi="Calibri" w:cs="Calibri"/>
          <w:lang w:val="da-DK"/>
        </w:rPr>
        <w:t xml:space="preserve">Anderson, M.J., 2017. </w:t>
      </w:r>
      <w:r w:rsidRPr="004E115B">
        <w:rPr>
          <w:rFonts w:ascii="Calibri" w:hAnsi="Calibri" w:cs="Calibri"/>
        </w:rPr>
        <w:t xml:space="preserve">Permutational Multivariate Analysis of Variance (PERMANOVA), in: Wiley </w:t>
      </w:r>
      <w:proofErr w:type="spellStart"/>
      <w:r w:rsidRPr="004E115B">
        <w:rPr>
          <w:rFonts w:ascii="Calibri" w:hAnsi="Calibri" w:cs="Calibri"/>
        </w:rPr>
        <w:t>StatsRef</w:t>
      </w:r>
      <w:proofErr w:type="spellEnd"/>
      <w:r w:rsidRPr="004E115B">
        <w:rPr>
          <w:rFonts w:ascii="Calibri" w:hAnsi="Calibri" w:cs="Calibri"/>
        </w:rPr>
        <w:t>: Statistics Reference Online. American Cancer Society, pp. 1–15. https://doi.org/10.1002/9781118445112.stat07841</w:t>
      </w:r>
    </w:p>
    <w:p w14:paraId="21676F30" w14:textId="77777777" w:rsidR="004E115B" w:rsidRPr="004E115B" w:rsidRDefault="004E115B" w:rsidP="004E115B">
      <w:pPr>
        <w:pStyle w:val="af0"/>
        <w:rPr>
          <w:rFonts w:ascii="Calibri" w:hAnsi="Calibri" w:cs="Calibri"/>
        </w:rPr>
      </w:pPr>
      <w:proofErr w:type="spellStart"/>
      <w:r w:rsidRPr="004E115B">
        <w:rPr>
          <w:rFonts w:ascii="Calibri" w:hAnsi="Calibri" w:cs="Calibri"/>
        </w:rPr>
        <w:t>Bartoń</w:t>
      </w:r>
      <w:proofErr w:type="spellEnd"/>
      <w:r w:rsidRPr="004E115B">
        <w:rPr>
          <w:rFonts w:ascii="Calibri" w:hAnsi="Calibri" w:cs="Calibri"/>
        </w:rPr>
        <w:t xml:space="preserve">, K., 2022. </w:t>
      </w:r>
      <w:proofErr w:type="spellStart"/>
      <w:r w:rsidRPr="004E115B">
        <w:rPr>
          <w:rFonts w:ascii="Calibri" w:hAnsi="Calibri" w:cs="Calibri"/>
        </w:rPr>
        <w:t>MuMIn</w:t>
      </w:r>
      <w:proofErr w:type="spellEnd"/>
      <w:r w:rsidRPr="004E115B">
        <w:rPr>
          <w:rFonts w:ascii="Calibri" w:hAnsi="Calibri" w:cs="Calibri"/>
        </w:rPr>
        <w:t>: Multi-Model Inference.</w:t>
      </w:r>
    </w:p>
    <w:p w14:paraId="1821475A" w14:textId="77777777" w:rsidR="004E115B" w:rsidRPr="004E115B" w:rsidRDefault="004E115B" w:rsidP="004E115B">
      <w:pPr>
        <w:pStyle w:val="af0"/>
        <w:rPr>
          <w:rFonts w:ascii="Calibri" w:hAnsi="Calibri" w:cs="Calibri"/>
        </w:rPr>
      </w:pPr>
      <w:r w:rsidRPr="004E115B">
        <w:rPr>
          <w:rFonts w:ascii="Calibri" w:hAnsi="Calibri" w:cs="Calibri"/>
        </w:rPr>
        <w:t xml:space="preserve">Berg, P., </w:t>
      </w:r>
      <w:proofErr w:type="spellStart"/>
      <w:r w:rsidRPr="004E115B">
        <w:rPr>
          <w:rFonts w:ascii="Calibri" w:hAnsi="Calibri" w:cs="Calibri"/>
        </w:rPr>
        <w:t>Risgaard</w:t>
      </w:r>
      <w:proofErr w:type="spellEnd"/>
      <w:r w:rsidRPr="004E115B">
        <w:rPr>
          <w:rFonts w:ascii="Calibri" w:hAnsi="Calibri" w:cs="Calibri"/>
        </w:rPr>
        <w:t xml:space="preserve">-Petersen, N., </w:t>
      </w:r>
      <w:proofErr w:type="spellStart"/>
      <w:r w:rsidRPr="004E115B">
        <w:rPr>
          <w:rFonts w:ascii="Calibri" w:hAnsi="Calibri" w:cs="Calibri"/>
        </w:rPr>
        <w:t>Rysgaard</w:t>
      </w:r>
      <w:proofErr w:type="spellEnd"/>
      <w:r w:rsidRPr="004E115B">
        <w:rPr>
          <w:rFonts w:ascii="Calibri" w:hAnsi="Calibri" w:cs="Calibri"/>
        </w:rPr>
        <w:t>, S., 1998. Interpretation of measured concentration profiles in sediment pore water. Limnology and Oceanography 43, 1500–1510. https://doi.org/10.4319/lo.1998.43.7.1500</w:t>
      </w:r>
    </w:p>
    <w:p w14:paraId="4FBB030A" w14:textId="77777777" w:rsidR="004E115B" w:rsidRPr="004E115B" w:rsidRDefault="004E115B" w:rsidP="004E115B">
      <w:pPr>
        <w:pStyle w:val="af0"/>
        <w:rPr>
          <w:rFonts w:ascii="Calibri" w:hAnsi="Calibri" w:cs="Calibri"/>
        </w:rPr>
      </w:pPr>
      <w:r w:rsidRPr="004E115B">
        <w:rPr>
          <w:rFonts w:ascii="Calibri" w:hAnsi="Calibri" w:cs="Calibri"/>
        </w:rPr>
        <w:lastRenderedPageBreak/>
        <w:t>Blum, P., 1997. Moisture and density (by mass and volume), in: Physical Properties Handbook: A Guide to the Shipboard Measurement of Physical Properties of Deep-Sea Cores. Texas, USA.</w:t>
      </w:r>
    </w:p>
    <w:p w14:paraId="54706B13" w14:textId="77777777" w:rsidR="004E115B" w:rsidRPr="004E115B" w:rsidRDefault="004E115B" w:rsidP="004E115B">
      <w:pPr>
        <w:pStyle w:val="af0"/>
        <w:rPr>
          <w:rFonts w:ascii="Calibri" w:hAnsi="Calibri" w:cs="Calibri"/>
        </w:rPr>
      </w:pPr>
      <w:r w:rsidRPr="004E115B">
        <w:rPr>
          <w:rFonts w:ascii="Calibri" w:hAnsi="Calibri" w:cs="Calibri"/>
        </w:rPr>
        <w:t xml:space="preserve">Brown, J.H., </w:t>
      </w:r>
      <w:proofErr w:type="spellStart"/>
      <w:r w:rsidRPr="004E115B">
        <w:rPr>
          <w:rFonts w:ascii="Calibri" w:hAnsi="Calibri" w:cs="Calibri"/>
        </w:rPr>
        <w:t>Gillooly</w:t>
      </w:r>
      <w:proofErr w:type="spellEnd"/>
      <w:r w:rsidRPr="004E115B">
        <w:rPr>
          <w:rFonts w:ascii="Calibri" w:hAnsi="Calibri" w:cs="Calibri"/>
        </w:rPr>
        <w:t>, J.F., Allen, A.P., Savage, V.M., West, G.B., 2004. Toward a metabolic theory of ecology. Ecology 85, 1771–1789. https://doi.org/10.1890/03-9000</w:t>
      </w:r>
    </w:p>
    <w:p w14:paraId="77C8ACF0" w14:textId="77777777" w:rsidR="004E115B" w:rsidRPr="004E115B" w:rsidRDefault="004E115B" w:rsidP="004E115B">
      <w:pPr>
        <w:pStyle w:val="af0"/>
        <w:rPr>
          <w:rFonts w:ascii="Calibri" w:hAnsi="Calibri" w:cs="Calibri"/>
        </w:rPr>
      </w:pPr>
      <w:r w:rsidRPr="004E115B">
        <w:rPr>
          <w:rFonts w:ascii="Calibri" w:hAnsi="Calibri" w:cs="Calibri"/>
        </w:rPr>
        <w:t xml:space="preserve">Burnham, K.P., Anderson, D.R., 2002. Model selection and </w:t>
      </w:r>
      <w:proofErr w:type="spellStart"/>
      <w:r w:rsidRPr="004E115B">
        <w:rPr>
          <w:rFonts w:ascii="Calibri" w:hAnsi="Calibri" w:cs="Calibri"/>
        </w:rPr>
        <w:t>multimodel</w:t>
      </w:r>
      <w:proofErr w:type="spellEnd"/>
      <w:r w:rsidRPr="004E115B">
        <w:rPr>
          <w:rFonts w:ascii="Calibri" w:hAnsi="Calibri" w:cs="Calibri"/>
        </w:rPr>
        <w:t xml:space="preserve"> inference: a practical information-</w:t>
      </w:r>
      <w:proofErr w:type="spellStart"/>
      <w:r w:rsidRPr="004E115B">
        <w:rPr>
          <w:rFonts w:ascii="Calibri" w:hAnsi="Calibri" w:cs="Calibri"/>
        </w:rPr>
        <w:t>theorectic</w:t>
      </w:r>
      <w:proofErr w:type="spellEnd"/>
      <w:r w:rsidRPr="004E115B">
        <w:rPr>
          <w:rFonts w:ascii="Calibri" w:hAnsi="Calibri" w:cs="Calibri"/>
        </w:rPr>
        <w:t xml:space="preserve"> approach, 2nd ed. Springer, New York, NY.</w:t>
      </w:r>
    </w:p>
    <w:p w14:paraId="689F68BF" w14:textId="77777777" w:rsidR="004E115B" w:rsidRPr="004E115B" w:rsidRDefault="004E115B" w:rsidP="004E115B">
      <w:pPr>
        <w:pStyle w:val="af0"/>
        <w:rPr>
          <w:rFonts w:ascii="Calibri" w:hAnsi="Calibri" w:cs="Calibri"/>
        </w:rPr>
      </w:pPr>
      <w:proofErr w:type="spellStart"/>
      <w:r w:rsidRPr="004E115B">
        <w:rPr>
          <w:rFonts w:ascii="Calibri" w:hAnsi="Calibri" w:cs="Calibri"/>
        </w:rPr>
        <w:t>Campanyà-Llovet</w:t>
      </w:r>
      <w:proofErr w:type="spellEnd"/>
      <w:r w:rsidRPr="004E115B">
        <w:rPr>
          <w:rFonts w:ascii="Calibri" w:hAnsi="Calibri" w:cs="Calibri"/>
        </w:rPr>
        <w:t xml:space="preserve">, N., </w:t>
      </w:r>
      <w:proofErr w:type="spellStart"/>
      <w:r w:rsidRPr="004E115B">
        <w:rPr>
          <w:rFonts w:ascii="Calibri" w:hAnsi="Calibri" w:cs="Calibri"/>
        </w:rPr>
        <w:t>Snelgrove</w:t>
      </w:r>
      <w:proofErr w:type="spellEnd"/>
      <w:r w:rsidRPr="004E115B">
        <w:rPr>
          <w:rFonts w:ascii="Calibri" w:hAnsi="Calibri" w:cs="Calibri"/>
        </w:rPr>
        <w:t>, P.V.R., Parrish, C.C., 2017. Rethinking the importance of food quality in marine benthic food webs. Progress in Oceanography 156, 240–251. https://doi.org/10.1016/j.pocean.2017.07.006</w:t>
      </w:r>
    </w:p>
    <w:p w14:paraId="46826770" w14:textId="77777777" w:rsidR="004E115B" w:rsidRPr="004E115B" w:rsidRDefault="004E115B" w:rsidP="004E115B">
      <w:pPr>
        <w:pStyle w:val="af0"/>
        <w:rPr>
          <w:rFonts w:ascii="Calibri" w:hAnsi="Calibri" w:cs="Calibri"/>
        </w:rPr>
      </w:pPr>
      <w:r w:rsidRPr="004E115B">
        <w:rPr>
          <w:rFonts w:ascii="Calibri" w:hAnsi="Calibri" w:cs="Calibri"/>
        </w:rPr>
        <w:t xml:space="preserve">Carter, L., Milliman, J.D., </w:t>
      </w:r>
      <w:proofErr w:type="spellStart"/>
      <w:r w:rsidRPr="004E115B">
        <w:rPr>
          <w:rFonts w:ascii="Calibri" w:hAnsi="Calibri" w:cs="Calibri"/>
        </w:rPr>
        <w:t>Talling</w:t>
      </w:r>
      <w:proofErr w:type="spellEnd"/>
      <w:r w:rsidRPr="004E115B">
        <w:rPr>
          <w:rFonts w:ascii="Calibri" w:hAnsi="Calibri" w:cs="Calibri"/>
        </w:rPr>
        <w:t xml:space="preserve">, P.J., </w:t>
      </w:r>
      <w:proofErr w:type="spellStart"/>
      <w:r w:rsidRPr="004E115B">
        <w:rPr>
          <w:rFonts w:ascii="Calibri" w:hAnsi="Calibri" w:cs="Calibri"/>
        </w:rPr>
        <w:t>Gavey</w:t>
      </w:r>
      <w:proofErr w:type="spellEnd"/>
      <w:r w:rsidRPr="004E115B">
        <w:rPr>
          <w:rFonts w:ascii="Calibri" w:hAnsi="Calibri" w:cs="Calibri"/>
        </w:rPr>
        <w:t>, R., Wynn, R.B., 2012. Near-synchronous and delayed initiation of long run-out submarine sediment flows from a record-breaking river flood, offshore Taiwan. Geophysical Research Letters 39. https://doi.org/10.1029/2012GL051172</w:t>
      </w:r>
    </w:p>
    <w:p w14:paraId="13C71DCA" w14:textId="77777777" w:rsidR="004E115B" w:rsidRPr="004E115B" w:rsidRDefault="004E115B" w:rsidP="004E115B">
      <w:pPr>
        <w:pStyle w:val="af0"/>
        <w:rPr>
          <w:rFonts w:ascii="Calibri" w:hAnsi="Calibri" w:cs="Calibri"/>
        </w:rPr>
      </w:pPr>
      <w:proofErr w:type="spellStart"/>
      <w:r w:rsidRPr="004E115B">
        <w:rPr>
          <w:rFonts w:ascii="Calibri" w:hAnsi="Calibri" w:cs="Calibri"/>
        </w:rPr>
        <w:t>Dormann</w:t>
      </w:r>
      <w:proofErr w:type="spellEnd"/>
      <w:r w:rsidRPr="004E115B">
        <w:rPr>
          <w:rFonts w:ascii="Calibri" w:hAnsi="Calibri" w:cs="Calibri"/>
        </w:rPr>
        <w:t xml:space="preserve">, C.F., </w:t>
      </w:r>
      <w:proofErr w:type="spellStart"/>
      <w:r w:rsidRPr="004E115B">
        <w:rPr>
          <w:rFonts w:ascii="Calibri" w:hAnsi="Calibri" w:cs="Calibri"/>
        </w:rPr>
        <w:t>Elith</w:t>
      </w:r>
      <w:proofErr w:type="spellEnd"/>
      <w:r w:rsidRPr="004E115B">
        <w:rPr>
          <w:rFonts w:ascii="Calibri" w:hAnsi="Calibri" w:cs="Calibri"/>
        </w:rPr>
        <w:t xml:space="preserve">, J., </w:t>
      </w:r>
      <w:proofErr w:type="spellStart"/>
      <w:r w:rsidRPr="004E115B">
        <w:rPr>
          <w:rFonts w:ascii="Calibri" w:hAnsi="Calibri" w:cs="Calibri"/>
        </w:rPr>
        <w:t>Bacher</w:t>
      </w:r>
      <w:proofErr w:type="spellEnd"/>
      <w:r w:rsidRPr="004E115B">
        <w:rPr>
          <w:rFonts w:ascii="Calibri" w:hAnsi="Calibri" w:cs="Calibri"/>
        </w:rPr>
        <w:t xml:space="preserve">, S., Buchmann, C., Carl, G., </w:t>
      </w:r>
      <w:proofErr w:type="spellStart"/>
      <w:r w:rsidRPr="004E115B">
        <w:rPr>
          <w:rFonts w:ascii="Calibri" w:hAnsi="Calibri" w:cs="Calibri"/>
        </w:rPr>
        <w:t>Carré</w:t>
      </w:r>
      <w:proofErr w:type="spellEnd"/>
      <w:r w:rsidRPr="004E115B">
        <w:rPr>
          <w:rFonts w:ascii="Calibri" w:hAnsi="Calibri" w:cs="Calibri"/>
        </w:rPr>
        <w:t xml:space="preserve">, G., </w:t>
      </w:r>
      <w:proofErr w:type="spellStart"/>
      <w:r w:rsidRPr="004E115B">
        <w:rPr>
          <w:rFonts w:ascii="Calibri" w:hAnsi="Calibri" w:cs="Calibri"/>
        </w:rPr>
        <w:t>Marquéz</w:t>
      </w:r>
      <w:proofErr w:type="spellEnd"/>
      <w:r w:rsidRPr="004E115B">
        <w:rPr>
          <w:rFonts w:ascii="Calibri" w:hAnsi="Calibri" w:cs="Calibri"/>
        </w:rPr>
        <w:t xml:space="preserve">, J.R.G., Gruber, B., </w:t>
      </w:r>
      <w:proofErr w:type="spellStart"/>
      <w:r w:rsidRPr="004E115B">
        <w:rPr>
          <w:rFonts w:ascii="Calibri" w:hAnsi="Calibri" w:cs="Calibri"/>
        </w:rPr>
        <w:t>Lafourcade</w:t>
      </w:r>
      <w:proofErr w:type="spellEnd"/>
      <w:r w:rsidRPr="004E115B">
        <w:rPr>
          <w:rFonts w:ascii="Calibri" w:hAnsi="Calibri" w:cs="Calibri"/>
        </w:rPr>
        <w:t xml:space="preserve">, B., </w:t>
      </w:r>
      <w:proofErr w:type="spellStart"/>
      <w:r w:rsidRPr="004E115B">
        <w:rPr>
          <w:rFonts w:ascii="Calibri" w:hAnsi="Calibri" w:cs="Calibri"/>
        </w:rPr>
        <w:t>Leitão</w:t>
      </w:r>
      <w:proofErr w:type="spellEnd"/>
      <w:r w:rsidRPr="004E115B">
        <w:rPr>
          <w:rFonts w:ascii="Calibri" w:hAnsi="Calibri" w:cs="Calibri"/>
        </w:rPr>
        <w:t xml:space="preserve">, P.J., </w:t>
      </w:r>
      <w:proofErr w:type="spellStart"/>
      <w:r w:rsidRPr="004E115B">
        <w:rPr>
          <w:rFonts w:ascii="Calibri" w:hAnsi="Calibri" w:cs="Calibri"/>
        </w:rPr>
        <w:t>Münkemüller</w:t>
      </w:r>
      <w:proofErr w:type="spellEnd"/>
      <w:r w:rsidRPr="004E115B">
        <w:rPr>
          <w:rFonts w:ascii="Calibri" w:hAnsi="Calibri" w:cs="Calibri"/>
        </w:rPr>
        <w:t xml:space="preserve">, T., McClean, C., Osborne, P.E., </w:t>
      </w:r>
      <w:proofErr w:type="spellStart"/>
      <w:r w:rsidRPr="004E115B">
        <w:rPr>
          <w:rFonts w:ascii="Calibri" w:hAnsi="Calibri" w:cs="Calibri"/>
        </w:rPr>
        <w:t>Reineking</w:t>
      </w:r>
      <w:proofErr w:type="spellEnd"/>
      <w:r w:rsidRPr="004E115B">
        <w:rPr>
          <w:rFonts w:ascii="Calibri" w:hAnsi="Calibri" w:cs="Calibri"/>
        </w:rPr>
        <w:t xml:space="preserve">, B., </w:t>
      </w:r>
      <w:proofErr w:type="spellStart"/>
      <w:r w:rsidRPr="004E115B">
        <w:rPr>
          <w:rFonts w:ascii="Calibri" w:hAnsi="Calibri" w:cs="Calibri"/>
        </w:rPr>
        <w:t>Schröder</w:t>
      </w:r>
      <w:proofErr w:type="spellEnd"/>
      <w:r w:rsidRPr="004E115B">
        <w:rPr>
          <w:rFonts w:ascii="Calibri" w:hAnsi="Calibri" w:cs="Calibri"/>
        </w:rPr>
        <w:t xml:space="preserve">, B., Skidmore, A.K., </w:t>
      </w:r>
      <w:proofErr w:type="spellStart"/>
      <w:r w:rsidRPr="004E115B">
        <w:rPr>
          <w:rFonts w:ascii="Calibri" w:hAnsi="Calibri" w:cs="Calibri"/>
        </w:rPr>
        <w:t>Zurell</w:t>
      </w:r>
      <w:proofErr w:type="spellEnd"/>
      <w:r w:rsidRPr="004E115B">
        <w:rPr>
          <w:rFonts w:ascii="Calibri" w:hAnsi="Calibri" w:cs="Calibri"/>
        </w:rPr>
        <w:t xml:space="preserve">, D., </w:t>
      </w:r>
      <w:proofErr w:type="spellStart"/>
      <w:r w:rsidRPr="004E115B">
        <w:rPr>
          <w:rFonts w:ascii="Calibri" w:hAnsi="Calibri" w:cs="Calibri"/>
        </w:rPr>
        <w:t>Lautenbach</w:t>
      </w:r>
      <w:proofErr w:type="spellEnd"/>
      <w:r w:rsidRPr="004E115B">
        <w:rPr>
          <w:rFonts w:ascii="Calibri" w:hAnsi="Calibri" w:cs="Calibri"/>
        </w:rPr>
        <w:t xml:space="preserve">, S., 2013. Collinearity: a review of methods to deal with it and a simulation study evaluating their performance. </w:t>
      </w:r>
      <w:proofErr w:type="spellStart"/>
      <w:r w:rsidRPr="004E115B">
        <w:rPr>
          <w:rFonts w:ascii="Calibri" w:hAnsi="Calibri" w:cs="Calibri"/>
        </w:rPr>
        <w:t>Ecography</w:t>
      </w:r>
      <w:proofErr w:type="spellEnd"/>
      <w:r w:rsidRPr="004E115B">
        <w:rPr>
          <w:rFonts w:ascii="Calibri" w:hAnsi="Calibri" w:cs="Calibri"/>
        </w:rPr>
        <w:t xml:space="preserve"> 36, 27–46. https://doi.org/10.1111/j.1600-0587.2012.07348.x</w:t>
      </w:r>
    </w:p>
    <w:p w14:paraId="58CE89A6" w14:textId="77777777" w:rsidR="004E115B" w:rsidRPr="004E115B" w:rsidRDefault="004E115B" w:rsidP="004E115B">
      <w:pPr>
        <w:pStyle w:val="af0"/>
        <w:rPr>
          <w:rFonts w:ascii="Calibri" w:hAnsi="Calibri" w:cs="Calibri"/>
        </w:rPr>
      </w:pPr>
      <w:proofErr w:type="spellStart"/>
      <w:r w:rsidRPr="004E115B">
        <w:rPr>
          <w:rFonts w:ascii="Calibri" w:hAnsi="Calibri" w:cs="Calibri"/>
        </w:rPr>
        <w:t>Glud</w:t>
      </w:r>
      <w:proofErr w:type="spellEnd"/>
      <w:r w:rsidRPr="004E115B">
        <w:rPr>
          <w:rFonts w:ascii="Calibri" w:hAnsi="Calibri" w:cs="Calibri"/>
        </w:rPr>
        <w:t>, R.N., 2008. Oxygen dynamics of marine sediments. Marine Biology Research 4, 243–289. https://doi.org/10.1080/17451000801888726</w:t>
      </w:r>
    </w:p>
    <w:p w14:paraId="06839926" w14:textId="77777777" w:rsidR="004E115B" w:rsidRPr="004E115B" w:rsidRDefault="004E115B" w:rsidP="004E115B">
      <w:pPr>
        <w:pStyle w:val="af0"/>
        <w:rPr>
          <w:rFonts w:ascii="Calibri" w:hAnsi="Calibri" w:cs="Calibri"/>
        </w:rPr>
      </w:pPr>
      <w:r w:rsidRPr="004E115B">
        <w:rPr>
          <w:rFonts w:ascii="Calibri" w:hAnsi="Calibri" w:cs="Calibri"/>
        </w:rPr>
        <w:t xml:space="preserve">Kao, S.-J., </w:t>
      </w:r>
      <w:proofErr w:type="spellStart"/>
      <w:r w:rsidRPr="004E115B">
        <w:rPr>
          <w:rFonts w:ascii="Calibri" w:hAnsi="Calibri" w:cs="Calibri"/>
        </w:rPr>
        <w:t>Shiah</w:t>
      </w:r>
      <w:proofErr w:type="spellEnd"/>
      <w:r w:rsidRPr="004E115B">
        <w:rPr>
          <w:rFonts w:ascii="Calibri" w:hAnsi="Calibri" w:cs="Calibri"/>
        </w:rPr>
        <w:t>, F.-K., Wang, C.-H., Liu, K.-K., 2006. Efficient trapping of organic carbon in sediments on the continental margin with high fluvial sediment input off southwestern Taiwan. Continental Shelf Research 26, 2520–2537. https://doi.org/10.1016/j.csr.2006.07.030</w:t>
      </w:r>
    </w:p>
    <w:p w14:paraId="0196F33E" w14:textId="77777777" w:rsidR="004E115B" w:rsidRPr="004E115B" w:rsidRDefault="004E115B" w:rsidP="004E115B">
      <w:pPr>
        <w:pStyle w:val="af0"/>
        <w:rPr>
          <w:rFonts w:ascii="Calibri" w:hAnsi="Calibri" w:cs="Calibri"/>
        </w:rPr>
      </w:pPr>
      <w:r w:rsidRPr="004E115B">
        <w:rPr>
          <w:rFonts w:ascii="Calibri" w:hAnsi="Calibri" w:cs="Calibri"/>
        </w:rPr>
        <w:t xml:space="preserve">Legendre, P., </w:t>
      </w:r>
      <w:proofErr w:type="spellStart"/>
      <w:r w:rsidRPr="004E115B">
        <w:rPr>
          <w:rFonts w:ascii="Calibri" w:hAnsi="Calibri" w:cs="Calibri"/>
        </w:rPr>
        <w:t>Borcard</w:t>
      </w:r>
      <w:proofErr w:type="spellEnd"/>
      <w:r w:rsidRPr="004E115B">
        <w:rPr>
          <w:rFonts w:ascii="Calibri" w:hAnsi="Calibri" w:cs="Calibri"/>
        </w:rPr>
        <w:t xml:space="preserve">, D., 2018. Box–Cox-chord transformations for community composition data prior to beta diversity analysis. </w:t>
      </w:r>
      <w:proofErr w:type="spellStart"/>
      <w:r w:rsidRPr="004E115B">
        <w:rPr>
          <w:rFonts w:ascii="Calibri" w:hAnsi="Calibri" w:cs="Calibri"/>
        </w:rPr>
        <w:t>Ecography</w:t>
      </w:r>
      <w:proofErr w:type="spellEnd"/>
      <w:r w:rsidRPr="004E115B">
        <w:rPr>
          <w:rFonts w:ascii="Calibri" w:hAnsi="Calibri" w:cs="Calibri"/>
        </w:rPr>
        <w:t xml:space="preserve"> 41, 1820–1824. https://doi.org/10.1111/ecog.03498</w:t>
      </w:r>
    </w:p>
    <w:p w14:paraId="16FE39FD" w14:textId="77777777" w:rsidR="004E115B" w:rsidRPr="004E115B" w:rsidRDefault="004E115B" w:rsidP="004E115B">
      <w:pPr>
        <w:pStyle w:val="af0"/>
        <w:rPr>
          <w:rFonts w:ascii="Calibri" w:hAnsi="Calibri" w:cs="Calibri"/>
        </w:rPr>
      </w:pPr>
      <w:r w:rsidRPr="004E115B">
        <w:rPr>
          <w:rFonts w:ascii="Calibri" w:hAnsi="Calibri" w:cs="Calibri"/>
        </w:rPr>
        <w:t xml:space="preserve">Lin, Y.-C., </w:t>
      </w:r>
      <w:proofErr w:type="spellStart"/>
      <w:r w:rsidRPr="004E115B">
        <w:rPr>
          <w:rFonts w:ascii="Calibri" w:hAnsi="Calibri" w:cs="Calibri"/>
        </w:rPr>
        <w:t>Su</w:t>
      </w:r>
      <w:proofErr w:type="spellEnd"/>
      <w:r w:rsidRPr="004E115B">
        <w:rPr>
          <w:rFonts w:ascii="Calibri" w:hAnsi="Calibri" w:cs="Calibri"/>
        </w:rPr>
        <w:t>, Y.-F., Fu, H.-H., Wang, Y.-T., Shih, H.-J., Liang, T.-Y., Yeh, S.-H., Chen, W.-P., Chang, C.-H., 2020. 2019 Typhoon events.</w:t>
      </w:r>
    </w:p>
    <w:p w14:paraId="320355AF" w14:textId="77777777" w:rsidR="004E115B" w:rsidRPr="004E115B" w:rsidRDefault="004E115B" w:rsidP="004E115B">
      <w:pPr>
        <w:pStyle w:val="af0"/>
        <w:rPr>
          <w:rFonts w:ascii="Calibri" w:hAnsi="Calibri" w:cs="Calibri"/>
        </w:rPr>
      </w:pPr>
      <w:r w:rsidRPr="004E115B">
        <w:rPr>
          <w:rFonts w:ascii="Calibri" w:hAnsi="Calibri" w:cs="Calibri"/>
        </w:rPr>
        <w:t>Liu, J.T., Liu, K., Huang, J.C., 2002. The effect of a submarine canyon on the river sediment dispersal and inner shelf sediment movements in southern Taiwan. Marine Geology 181, 357–386. https://doi.org/10.1016/S0025-3227(01)00219-5</w:t>
      </w:r>
    </w:p>
    <w:p w14:paraId="44FAF773" w14:textId="77777777" w:rsidR="004E115B" w:rsidRPr="004E115B" w:rsidRDefault="004E115B" w:rsidP="004E115B">
      <w:pPr>
        <w:pStyle w:val="af0"/>
        <w:rPr>
          <w:rFonts w:ascii="Calibri" w:hAnsi="Calibri" w:cs="Calibri"/>
        </w:rPr>
      </w:pPr>
      <w:r w:rsidRPr="004E115B">
        <w:rPr>
          <w:rFonts w:ascii="Calibri" w:hAnsi="Calibri" w:cs="Calibri"/>
        </w:rPr>
        <w:t xml:space="preserve">Middelburg, J.J., Levin, L.A., 2009. Coastal hypoxia and sediment biogeochemistry. </w:t>
      </w:r>
      <w:proofErr w:type="spellStart"/>
      <w:r w:rsidRPr="004E115B">
        <w:rPr>
          <w:rFonts w:ascii="Calibri" w:hAnsi="Calibri" w:cs="Calibri"/>
        </w:rPr>
        <w:t>Biogeosciences</w:t>
      </w:r>
      <w:proofErr w:type="spellEnd"/>
      <w:r w:rsidRPr="004E115B">
        <w:rPr>
          <w:rFonts w:ascii="Calibri" w:hAnsi="Calibri" w:cs="Calibri"/>
        </w:rPr>
        <w:t xml:space="preserve"> 6, 1273–1293. https://doi.org/10.5194/bg-6-1273-2009</w:t>
      </w:r>
    </w:p>
    <w:p w14:paraId="6AF3C2F1" w14:textId="77777777" w:rsidR="004E115B" w:rsidRPr="004E115B" w:rsidRDefault="004E115B" w:rsidP="004E115B">
      <w:pPr>
        <w:pStyle w:val="af0"/>
        <w:rPr>
          <w:rFonts w:ascii="Calibri" w:hAnsi="Calibri" w:cs="Calibri"/>
        </w:rPr>
      </w:pPr>
      <w:r w:rsidRPr="004E115B">
        <w:rPr>
          <w:rFonts w:ascii="Calibri" w:hAnsi="Calibri" w:cs="Calibri"/>
        </w:rPr>
        <w:t xml:space="preserve">Oksanen, J., F. Guillaume Blanchet, Michael Friendly, Roeland </w:t>
      </w:r>
      <w:proofErr w:type="spellStart"/>
      <w:r w:rsidRPr="004E115B">
        <w:rPr>
          <w:rFonts w:ascii="Calibri" w:hAnsi="Calibri" w:cs="Calibri"/>
        </w:rPr>
        <w:t>Kindt</w:t>
      </w:r>
      <w:proofErr w:type="spellEnd"/>
      <w:r w:rsidRPr="004E115B">
        <w:rPr>
          <w:rFonts w:ascii="Calibri" w:hAnsi="Calibri" w:cs="Calibri"/>
        </w:rPr>
        <w:t xml:space="preserve">, Pierre Legendre, Dan McGlinn, Peter R. Minchin, R. B. O’Hara, Gavin L. Simpson, Peter </w:t>
      </w:r>
      <w:proofErr w:type="spellStart"/>
      <w:r w:rsidRPr="004E115B">
        <w:rPr>
          <w:rFonts w:ascii="Calibri" w:hAnsi="Calibri" w:cs="Calibri"/>
        </w:rPr>
        <w:t>Solymos</w:t>
      </w:r>
      <w:proofErr w:type="spellEnd"/>
      <w:r w:rsidRPr="004E115B">
        <w:rPr>
          <w:rFonts w:ascii="Calibri" w:hAnsi="Calibri" w:cs="Calibri"/>
        </w:rPr>
        <w:t xml:space="preserve">, M. Henry H. Stevens, Eduard </w:t>
      </w:r>
      <w:proofErr w:type="spellStart"/>
      <w:r w:rsidRPr="004E115B">
        <w:rPr>
          <w:rFonts w:ascii="Calibri" w:hAnsi="Calibri" w:cs="Calibri"/>
        </w:rPr>
        <w:t>Szoecs</w:t>
      </w:r>
      <w:proofErr w:type="spellEnd"/>
      <w:r w:rsidRPr="004E115B">
        <w:rPr>
          <w:rFonts w:ascii="Calibri" w:hAnsi="Calibri" w:cs="Calibri"/>
        </w:rPr>
        <w:t>, Helene Wagner, 2021. vegan: Community Ecology Package.</w:t>
      </w:r>
    </w:p>
    <w:p w14:paraId="248A76B6" w14:textId="77777777" w:rsidR="004E115B" w:rsidRPr="004E115B" w:rsidRDefault="004E115B" w:rsidP="004E115B">
      <w:pPr>
        <w:pStyle w:val="af0"/>
        <w:rPr>
          <w:rFonts w:ascii="Calibri" w:hAnsi="Calibri" w:cs="Calibri"/>
        </w:rPr>
      </w:pPr>
      <w:r w:rsidRPr="004E115B">
        <w:rPr>
          <w:rFonts w:ascii="Calibri" w:hAnsi="Calibri" w:cs="Calibri"/>
        </w:rPr>
        <w:t>R Core Team, 2020. R: A Language and Environment for Statistical Computing.</w:t>
      </w:r>
    </w:p>
    <w:p w14:paraId="6EF8F1F7" w14:textId="77777777" w:rsidR="004E115B" w:rsidRPr="004E115B" w:rsidRDefault="004E115B" w:rsidP="004E115B">
      <w:pPr>
        <w:pStyle w:val="af0"/>
        <w:rPr>
          <w:rFonts w:ascii="Calibri" w:hAnsi="Calibri" w:cs="Calibri"/>
        </w:rPr>
      </w:pPr>
      <w:r w:rsidRPr="004E115B">
        <w:rPr>
          <w:rFonts w:ascii="Calibri" w:hAnsi="Calibri" w:cs="Calibri"/>
        </w:rPr>
        <w:t xml:space="preserve">Richards, S.A., 2008. Dealing with </w:t>
      </w:r>
      <w:proofErr w:type="spellStart"/>
      <w:r w:rsidRPr="004E115B">
        <w:rPr>
          <w:rFonts w:ascii="Calibri" w:hAnsi="Calibri" w:cs="Calibri"/>
        </w:rPr>
        <w:t>overdispersed</w:t>
      </w:r>
      <w:proofErr w:type="spellEnd"/>
      <w:r w:rsidRPr="004E115B">
        <w:rPr>
          <w:rFonts w:ascii="Calibri" w:hAnsi="Calibri" w:cs="Calibri"/>
        </w:rPr>
        <w:t xml:space="preserve"> count data in applied ecology. Journal of Applied Ecology 45, 218–227. https://doi.org/10.1111/j.1365-2664.2007.01377.x</w:t>
      </w:r>
    </w:p>
    <w:p w14:paraId="5F67865E" w14:textId="77777777" w:rsidR="004E115B" w:rsidRPr="004E115B" w:rsidRDefault="004E115B" w:rsidP="004E115B">
      <w:pPr>
        <w:pStyle w:val="af0"/>
        <w:rPr>
          <w:rFonts w:ascii="Calibri" w:hAnsi="Calibri" w:cs="Calibri"/>
        </w:rPr>
      </w:pPr>
      <w:r w:rsidRPr="004E115B">
        <w:rPr>
          <w:rFonts w:ascii="Calibri" w:hAnsi="Calibri" w:cs="Calibri"/>
        </w:rPr>
        <w:t xml:space="preserve">Richards, S.A., 2005. Testing Ecological Theory Using the Information-Theoretic </w:t>
      </w:r>
      <w:r w:rsidRPr="004E115B">
        <w:rPr>
          <w:rFonts w:ascii="Calibri" w:hAnsi="Calibri" w:cs="Calibri"/>
        </w:rPr>
        <w:lastRenderedPageBreak/>
        <w:t>Approach: Examples and Cautionary Results. Ecology 86, 2805–2814. https://doi.org/10.1890/05-0074</w:t>
      </w:r>
    </w:p>
    <w:p w14:paraId="219AA4E2" w14:textId="77777777" w:rsidR="004E115B" w:rsidRPr="004E115B" w:rsidRDefault="004E115B" w:rsidP="004E115B">
      <w:pPr>
        <w:pStyle w:val="af0"/>
        <w:rPr>
          <w:rFonts w:ascii="Calibri" w:hAnsi="Calibri" w:cs="Calibri"/>
        </w:rPr>
      </w:pPr>
      <w:proofErr w:type="spellStart"/>
      <w:r w:rsidRPr="004E115B">
        <w:rPr>
          <w:rFonts w:ascii="Calibri" w:hAnsi="Calibri" w:cs="Calibri"/>
        </w:rPr>
        <w:t>Schloerke</w:t>
      </w:r>
      <w:proofErr w:type="spellEnd"/>
      <w:r w:rsidRPr="004E115B">
        <w:rPr>
          <w:rFonts w:ascii="Calibri" w:hAnsi="Calibri" w:cs="Calibri"/>
        </w:rPr>
        <w:t xml:space="preserve">, B., Cook, D., </w:t>
      </w:r>
      <w:proofErr w:type="spellStart"/>
      <w:r w:rsidRPr="004E115B">
        <w:rPr>
          <w:rFonts w:ascii="Calibri" w:hAnsi="Calibri" w:cs="Calibri"/>
        </w:rPr>
        <w:t>Larmarange</w:t>
      </w:r>
      <w:proofErr w:type="spellEnd"/>
      <w:r w:rsidRPr="004E115B">
        <w:rPr>
          <w:rFonts w:ascii="Calibri" w:hAnsi="Calibri" w:cs="Calibri"/>
        </w:rPr>
        <w:t xml:space="preserve">, J., </w:t>
      </w:r>
      <w:proofErr w:type="spellStart"/>
      <w:r w:rsidRPr="004E115B">
        <w:rPr>
          <w:rFonts w:ascii="Calibri" w:hAnsi="Calibri" w:cs="Calibri"/>
        </w:rPr>
        <w:t>Briatte</w:t>
      </w:r>
      <w:proofErr w:type="spellEnd"/>
      <w:r w:rsidRPr="004E115B">
        <w:rPr>
          <w:rFonts w:ascii="Calibri" w:hAnsi="Calibri" w:cs="Calibri"/>
        </w:rPr>
        <w:t xml:space="preserve">, F., </w:t>
      </w:r>
      <w:proofErr w:type="spellStart"/>
      <w:r w:rsidRPr="004E115B">
        <w:rPr>
          <w:rFonts w:ascii="Calibri" w:hAnsi="Calibri" w:cs="Calibri"/>
        </w:rPr>
        <w:t>Marbach</w:t>
      </w:r>
      <w:proofErr w:type="spellEnd"/>
      <w:r w:rsidRPr="004E115B">
        <w:rPr>
          <w:rFonts w:ascii="Calibri" w:hAnsi="Calibri" w:cs="Calibri"/>
        </w:rPr>
        <w:t xml:space="preserve">, M., </w:t>
      </w:r>
      <w:proofErr w:type="spellStart"/>
      <w:r w:rsidRPr="004E115B">
        <w:rPr>
          <w:rFonts w:ascii="Calibri" w:hAnsi="Calibri" w:cs="Calibri"/>
        </w:rPr>
        <w:t>Thoen</w:t>
      </w:r>
      <w:proofErr w:type="spellEnd"/>
      <w:r w:rsidRPr="004E115B">
        <w:rPr>
          <w:rFonts w:ascii="Calibri" w:hAnsi="Calibri" w:cs="Calibri"/>
        </w:rPr>
        <w:t xml:space="preserve">, E., Elberg, A., Crowley, J., 2021. </w:t>
      </w:r>
      <w:proofErr w:type="spellStart"/>
      <w:r w:rsidRPr="004E115B">
        <w:rPr>
          <w:rFonts w:ascii="Calibri" w:hAnsi="Calibri" w:cs="Calibri"/>
        </w:rPr>
        <w:t>GGally</w:t>
      </w:r>
      <w:proofErr w:type="spellEnd"/>
      <w:r w:rsidRPr="004E115B">
        <w:rPr>
          <w:rFonts w:ascii="Calibri" w:hAnsi="Calibri" w:cs="Calibri"/>
        </w:rPr>
        <w:t>: Extension to “ggplot2.”</w:t>
      </w:r>
    </w:p>
    <w:p w14:paraId="44B438AF" w14:textId="77777777" w:rsidR="004E115B" w:rsidRPr="004E115B" w:rsidRDefault="004E115B" w:rsidP="004E115B">
      <w:pPr>
        <w:pStyle w:val="af0"/>
        <w:rPr>
          <w:rFonts w:ascii="Calibri" w:hAnsi="Calibri" w:cs="Calibri"/>
        </w:rPr>
      </w:pPr>
      <w:proofErr w:type="spellStart"/>
      <w:r w:rsidRPr="004E115B">
        <w:rPr>
          <w:rFonts w:ascii="Calibri" w:hAnsi="Calibri" w:cs="Calibri"/>
        </w:rPr>
        <w:t>Slowikowski</w:t>
      </w:r>
      <w:proofErr w:type="spellEnd"/>
      <w:r w:rsidRPr="004E115B">
        <w:rPr>
          <w:rFonts w:ascii="Calibri" w:hAnsi="Calibri" w:cs="Calibri"/>
        </w:rPr>
        <w:t xml:space="preserve">, K., 2021. </w:t>
      </w:r>
      <w:proofErr w:type="spellStart"/>
      <w:r w:rsidRPr="004E115B">
        <w:rPr>
          <w:rFonts w:ascii="Calibri" w:hAnsi="Calibri" w:cs="Calibri"/>
        </w:rPr>
        <w:t>ggrepel</w:t>
      </w:r>
      <w:proofErr w:type="spellEnd"/>
      <w:r w:rsidRPr="004E115B">
        <w:rPr>
          <w:rFonts w:ascii="Calibri" w:hAnsi="Calibri" w:cs="Calibri"/>
        </w:rPr>
        <w:t>: Automatically Position Non-Overlapping Text Labels with “ggplot2.”</w:t>
      </w:r>
    </w:p>
    <w:p w14:paraId="50EF6F75" w14:textId="77777777" w:rsidR="004E115B" w:rsidRPr="004E115B" w:rsidRDefault="004E115B" w:rsidP="004E115B">
      <w:pPr>
        <w:pStyle w:val="af0"/>
        <w:rPr>
          <w:rFonts w:ascii="Calibri" w:hAnsi="Calibri" w:cs="Calibri"/>
        </w:rPr>
      </w:pPr>
      <w:r w:rsidRPr="004E115B">
        <w:rPr>
          <w:rFonts w:ascii="Calibri" w:hAnsi="Calibri" w:cs="Calibri"/>
        </w:rPr>
        <w:t xml:space="preserve">Song, G., Liu, S., Zhu, Z., </w:t>
      </w:r>
      <w:proofErr w:type="spellStart"/>
      <w:r w:rsidRPr="004E115B">
        <w:rPr>
          <w:rFonts w:ascii="Calibri" w:hAnsi="Calibri" w:cs="Calibri"/>
        </w:rPr>
        <w:t>Zhai</w:t>
      </w:r>
      <w:proofErr w:type="spellEnd"/>
      <w:r w:rsidRPr="004E115B">
        <w:rPr>
          <w:rFonts w:ascii="Calibri" w:hAnsi="Calibri" w:cs="Calibri"/>
        </w:rPr>
        <w:t>, W., Zhu, C., Zhang, J., 2016. Sediment oxygen consumption and benthic organic carbon mineralization on the continental shelves of the East China Sea and the Yellow Sea. Deep Sea Research Part II: Topical Studies in Oceanography 124, 53–63. https://doi.org/10.1016/j.dsr2.2015.04.012</w:t>
      </w:r>
    </w:p>
    <w:p w14:paraId="0C93CC33" w14:textId="77777777" w:rsidR="004E115B" w:rsidRPr="004E115B" w:rsidRDefault="004E115B" w:rsidP="004E115B">
      <w:pPr>
        <w:pStyle w:val="af0"/>
        <w:rPr>
          <w:rFonts w:ascii="Calibri" w:hAnsi="Calibri" w:cs="Calibri"/>
        </w:rPr>
      </w:pPr>
      <w:r w:rsidRPr="004E115B">
        <w:rPr>
          <w:rFonts w:ascii="Calibri" w:hAnsi="Calibri" w:cs="Calibri"/>
        </w:rPr>
        <w:t xml:space="preserve">Toussaint, F., </w:t>
      </w:r>
      <w:proofErr w:type="spellStart"/>
      <w:r w:rsidRPr="004E115B">
        <w:rPr>
          <w:rFonts w:ascii="Calibri" w:hAnsi="Calibri" w:cs="Calibri"/>
        </w:rPr>
        <w:t>Rabouille</w:t>
      </w:r>
      <w:proofErr w:type="spellEnd"/>
      <w:r w:rsidRPr="004E115B">
        <w:rPr>
          <w:rFonts w:ascii="Calibri" w:hAnsi="Calibri" w:cs="Calibri"/>
        </w:rPr>
        <w:t xml:space="preserve">, C., </w:t>
      </w:r>
      <w:proofErr w:type="spellStart"/>
      <w:r w:rsidRPr="004E115B">
        <w:rPr>
          <w:rFonts w:ascii="Calibri" w:hAnsi="Calibri" w:cs="Calibri"/>
        </w:rPr>
        <w:t>Cathalot</w:t>
      </w:r>
      <w:proofErr w:type="spellEnd"/>
      <w:r w:rsidRPr="004E115B">
        <w:rPr>
          <w:rFonts w:ascii="Calibri" w:hAnsi="Calibri" w:cs="Calibri"/>
        </w:rPr>
        <w:t xml:space="preserve">, C., </w:t>
      </w:r>
      <w:proofErr w:type="spellStart"/>
      <w:r w:rsidRPr="004E115B">
        <w:rPr>
          <w:rFonts w:ascii="Calibri" w:hAnsi="Calibri" w:cs="Calibri"/>
        </w:rPr>
        <w:t>Bombled</w:t>
      </w:r>
      <w:proofErr w:type="spellEnd"/>
      <w:r w:rsidRPr="004E115B">
        <w:rPr>
          <w:rFonts w:ascii="Calibri" w:hAnsi="Calibri" w:cs="Calibri"/>
        </w:rPr>
        <w:t xml:space="preserve">, B., </w:t>
      </w:r>
      <w:proofErr w:type="spellStart"/>
      <w:r w:rsidRPr="004E115B">
        <w:rPr>
          <w:rFonts w:ascii="Calibri" w:hAnsi="Calibri" w:cs="Calibri"/>
        </w:rPr>
        <w:t>Abchiche</w:t>
      </w:r>
      <w:proofErr w:type="spellEnd"/>
      <w:r w:rsidRPr="004E115B">
        <w:rPr>
          <w:rFonts w:ascii="Calibri" w:hAnsi="Calibri" w:cs="Calibri"/>
        </w:rPr>
        <w:t xml:space="preserve">, A., </w:t>
      </w:r>
      <w:proofErr w:type="spellStart"/>
      <w:r w:rsidRPr="004E115B">
        <w:rPr>
          <w:rFonts w:ascii="Calibri" w:hAnsi="Calibri" w:cs="Calibri"/>
        </w:rPr>
        <w:t>Aouji</w:t>
      </w:r>
      <w:proofErr w:type="spellEnd"/>
      <w:r w:rsidRPr="004E115B">
        <w:rPr>
          <w:rFonts w:ascii="Calibri" w:hAnsi="Calibri" w:cs="Calibri"/>
        </w:rPr>
        <w:t xml:space="preserve">, O., </w:t>
      </w:r>
      <w:proofErr w:type="spellStart"/>
      <w:r w:rsidRPr="004E115B">
        <w:rPr>
          <w:rFonts w:ascii="Calibri" w:hAnsi="Calibri" w:cs="Calibri"/>
        </w:rPr>
        <w:t>Buchholtz</w:t>
      </w:r>
      <w:proofErr w:type="spellEnd"/>
      <w:r w:rsidRPr="004E115B">
        <w:rPr>
          <w:rFonts w:ascii="Calibri" w:hAnsi="Calibri" w:cs="Calibri"/>
        </w:rPr>
        <w:t xml:space="preserve">, G., </w:t>
      </w:r>
      <w:proofErr w:type="spellStart"/>
      <w:r w:rsidRPr="004E115B">
        <w:rPr>
          <w:rFonts w:ascii="Calibri" w:hAnsi="Calibri" w:cs="Calibri"/>
        </w:rPr>
        <w:t>Clemençon</w:t>
      </w:r>
      <w:proofErr w:type="spellEnd"/>
      <w:r w:rsidRPr="004E115B">
        <w:rPr>
          <w:rFonts w:ascii="Calibri" w:hAnsi="Calibri" w:cs="Calibri"/>
        </w:rPr>
        <w:t xml:space="preserve">, A., </w:t>
      </w:r>
      <w:proofErr w:type="spellStart"/>
      <w:r w:rsidRPr="004E115B">
        <w:rPr>
          <w:rFonts w:ascii="Calibri" w:hAnsi="Calibri" w:cs="Calibri"/>
        </w:rPr>
        <w:t>Geyskens</w:t>
      </w:r>
      <w:proofErr w:type="spellEnd"/>
      <w:r w:rsidRPr="004E115B">
        <w:rPr>
          <w:rFonts w:ascii="Calibri" w:hAnsi="Calibri" w:cs="Calibri"/>
        </w:rPr>
        <w:t xml:space="preserve">, N., </w:t>
      </w:r>
      <w:proofErr w:type="spellStart"/>
      <w:r w:rsidRPr="004E115B">
        <w:rPr>
          <w:rFonts w:ascii="Calibri" w:hAnsi="Calibri" w:cs="Calibri"/>
        </w:rPr>
        <w:t>Répécaud</w:t>
      </w:r>
      <w:proofErr w:type="spellEnd"/>
      <w:r w:rsidRPr="004E115B">
        <w:rPr>
          <w:rFonts w:ascii="Calibri" w:hAnsi="Calibri" w:cs="Calibri"/>
        </w:rPr>
        <w:t xml:space="preserve">, M., </w:t>
      </w:r>
      <w:proofErr w:type="spellStart"/>
      <w:r w:rsidRPr="004E115B">
        <w:rPr>
          <w:rFonts w:ascii="Calibri" w:hAnsi="Calibri" w:cs="Calibri"/>
        </w:rPr>
        <w:t>Pairaud</w:t>
      </w:r>
      <w:proofErr w:type="spellEnd"/>
      <w:r w:rsidRPr="004E115B">
        <w:rPr>
          <w:rFonts w:ascii="Calibri" w:hAnsi="Calibri" w:cs="Calibri"/>
        </w:rPr>
        <w:t xml:space="preserve">, I., Verney, R., </w:t>
      </w:r>
      <w:proofErr w:type="spellStart"/>
      <w:r w:rsidRPr="004E115B">
        <w:rPr>
          <w:rFonts w:ascii="Calibri" w:hAnsi="Calibri" w:cs="Calibri"/>
        </w:rPr>
        <w:t>Tisnérat</w:t>
      </w:r>
      <w:proofErr w:type="spellEnd"/>
      <w:r w:rsidRPr="004E115B">
        <w:rPr>
          <w:rFonts w:ascii="Calibri" w:hAnsi="Calibri" w:cs="Calibri"/>
        </w:rPr>
        <w:t>-Laborde, N., 2014. A new device to follow temporal variations of oxygen demand in deltaic sediments: the LSCE benthic station. Limnology and Oceanography: Methods 12, 729–741. https://doi.org/10.4319/lom.2014.12.729</w:t>
      </w:r>
    </w:p>
    <w:p w14:paraId="1D0D7B33" w14:textId="77777777" w:rsidR="004E115B" w:rsidRPr="004E115B" w:rsidRDefault="004E115B" w:rsidP="004E115B">
      <w:pPr>
        <w:pStyle w:val="af0"/>
        <w:rPr>
          <w:rFonts w:ascii="Calibri" w:hAnsi="Calibri" w:cs="Calibri"/>
          <w:lang w:val="da-DK"/>
        </w:rPr>
      </w:pPr>
      <w:proofErr w:type="spellStart"/>
      <w:r w:rsidRPr="004E115B">
        <w:rPr>
          <w:rFonts w:ascii="Calibri" w:hAnsi="Calibri" w:cs="Calibri"/>
        </w:rPr>
        <w:t>Unisense</w:t>
      </w:r>
      <w:proofErr w:type="spellEnd"/>
      <w:r w:rsidRPr="004E115B">
        <w:rPr>
          <w:rFonts w:ascii="Calibri" w:hAnsi="Calibri" w:cs="Calibri"/>
        </w:rPr>
        <w:t xml:space="preserve"> A/S, 2020. </w:t>
      </w:r>
      <w:r w:rsidRPr="004E115B">
        <w:rPr>
          <w:rFonts w:ascii="Calibri" w:hAnsi="Calibri" w:cs="Calibri"/>
          <w:lang w:val="da-DK"/>
        </w:rPr>
        <w:t>Oxygen sensor user manual.</w:t>
      </w:r>
    </w:p>
    <w:p w14:paraId="293C0F9F" w14:textId="77777777" w:rsidR="004E115B" w:rsidRPr="004E115B" w:rsidRDefault="004E115B" w:rsidP="004E115B">
      <w:pPr>
        <w:pStyle w:val="af0"/>
        <w:rPr>
          <w:rFonts w:ascii="Calibri" w:hAnsi="Calibri" w:cs="Calibri"/>
        </w:rPr>
      </w:pPr>
      <w:r w:rsidRPr="004E115B">
        <w:rPr>
          <w:rFonts w:ascii="Calibri" w:hAnsi="Calibri" w:cs="Calibri"/>
          <w:lang w:val="da-DK"/>
        </w:rPr>
        <w:t xml:space="preserve">Valiela, I., 2015. </w:t>
      </w:r>
      <w:r w:rsidRPr="004E115B">
        <w:rPr>
          <w:rFonts w:ascii="Calibri" w:hAnsi="Calibri" w:cs="Calibri"/>
        </w:rPr>
        <w:t>Marine ecological processes, 3rd ed. Springer, New York.</w:t>
      </w:r>
    </w:p>
    <w:p w14:paraId="0030142B" w14:textId="77777777" w:rsidR="004E115B" w:rsidRPr="004E115B" w:rsidRDefault="004E115B" w:rsidP="004E115B">
      <w:pPr>
        <w:pStyle w:val="af0"/>
        <w:rPr>
          <w:rFonts w:ascii="Calibri" w:hAnsi="Calibri" w:cs="Calibri"/>
        </w:rPr>
      </w:pPr>
      <w:r w:rsidRPr="004E115B">
        <w:rPr>
          <w:rFonts w:ascii="Calibri" w:hAnsi="Calibri" w:cs="Calibri"/>
        </w:rPr>
        <w:t xml:space="preserve">Wickham, H., 2021. </w:t>
      </w:r>
      <w:proofErr w:type="spellStart"/>
      <w:r w:rsidRPr="004E115B">
        <w:rPr>
          <w:rFonts w:ascii="Calibri" w:hAnsi="Calibri" w:cs="Calibri"/>
        </w:rPr>
        <w:t>tidyr</w:t>
      </w:r>
      <w:proofErr w:type="spellEnd"/>
      <w:r w:rsidRPr="004E115B">
        <w:rPr>
          <w:rFonts w:ascii="Calibri" w:hAnsi="Calibri" w:cs="Calibri"/>
        </w:rPr>
        <w:t>: Tidy Messy Data.</w:t>
      </w:r>
    </w:p>
    <w:p w14:paraId="4F825B16" w14:textId="77777777" w:rsidR="004E115B" w:rsidRPr="004E115B" w:rsidRDefault="004E115B" w:rsidP="004E115B">
      <w:pPr>
        <w:pStyle w:val="af0"/>
        <w:rPr>
          <w:rFonts w:ascii="Calibri" w:hAnsi="Calibri" w:cs="Calibri"/>
        </w:rPr>
      </w:pPr>
      <w:r w:rsidRPr="004E115B">
        <w:rPr>
          <w:rFonts w:ascii="Calibri" w:hAnsi="Calibri" w:cs="Calibri"/>
        </w:rPr>
        <w:t>Wickham, H., 2016. ggplot2: elegant graphics for data analysis.</w:t>
      </w:r>
    </w:p>
    <w:p w14:paraId="56ED2DF0" w14:textId="77777777" w:rsidR="004E115B" w:rsidRPr="004E115B" w:rsidRDefault="004E115B" w:rsidP="004E115B">
      <w:pPr>
        <w:pStyle w:val="af0"/>
        <w:rPr>
          <w:rFonts w:ascii="Calibri" w:hAnsi="Calibri" w:cs="Calibri"/>
        </w:rPr>
      </w:pPr>
      <w:r w:rsidRPr="004E115B">
        <w:rPr>
          <w:rFonts w:ascii="Calibri" w:hAnsi="Calibri" w:cs="Calibri"/>
        </w:rPr>
        <w:t xml:space="preserve">Wickham, H., Francois, R., Henry, L., Muller, K., 2021. </w:t>
      </w:r>
      <w:proofErr w:type="spellStart"/>
      <w:r w:rsidRPr="004E115B">
        <w:rPr>
          <w:rFonts w:ascii="Calibri" w:hAnsi="Calibri" w:cs="Calibri"/>
        </w:rPr>
        <w:t>dplyr</w:t>
      </w:r>
      <w:proofErr w:type="spellEnd"/>
      <w:r w:rsidRPr="004E115B">
        <w:rPr>
          <w:rFonts w:ascii="Calibri" w:hAnsi="Calibri" w:cs="Calibri"/>
        </w:rPr>
        <w:t>: A Grammar of Data Manipulation.</w:t>
      </w:r>
    </w:p>
    <w:p w14:paraId="50DACE8C" w14:textId="2AD92258" w:rsidR="005B0207" w:rsidRDefault="005B0207" w:rsidP="00577380">
      <w:r>
        <w:fldChar w:fldCharType="end"/>
      </w:r>
    </w:p>
    <w:sectPr w:rsidR="005B0207" w:rsidSect="00934839">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9-01T20:02:00Z" w:initials="YT">
    <w:p w14:paraId="4F87F710" w14:textId="77777777" w:rsidR="009D15E0" w:rsidRDefault="009D15E0" w:rsidP="00577380">
      <w:pPr>
        <w:pStyle w:val="a5"/>
      </w:pPr>
      <w:r>
        <w:rPr>
          <w:rStyle w:val="a4"/>
        </w:rPr>
        <w:annotationRef/>
      </w:r>
      <w:r>
        <w:t>Tentative title</w:t>
      </w:r>
    </w:p>
    <w:p w14:paraId="1897BA1C" w14:textId="225F7735" w:rsidR="009D15E0" w:rsidRDefault="009D15E0" w:rsidP="00577380">
      <w:pPr>
        <w:pStyle w:val="a5"/>
      </w:pPr>
      <w:r>
        <w:t>Estuarine, coastal, and shelf science requirements:</w:t>
      </w:r>
      <w:r>
        <w:br/>
        <w:t>Mandatory graphical abstract</w:t>
      </w:r>
    </w:p>
    <w:p w14:paraId="66BF97DF" w14:textId="4389CD59" w:rsidR="009D15E0" w:rsidRDefault="009D15E0" w:rsidP="00577380">
      <w:pPr>
        <w:pStyle w:val="a5"/>
      </w:pPr>
      <w:r>
        <w:t>No more than 8000 words</w:t>
      </w:r>
    </w:p>
    <w:p w14:paraId="792C7FF3" w14:textId="5F43AEBB" w:rsidR="009D15E0" w:rsidRDefault="009D15E0" w:rsidP="00577380">
      <w:pPr>
        <w:pStyle w:val="a5"/>
      </w:pPr>
      <w:r>
        <w:t>Not more than 8 figures and 3 tables</w:t>
      </w:r>
    </w:p>
  </w:comment>
  <w:comment w:id="1" w:author="Chen, Yen-Ting" w:date="2023-09-01T20:53:00Z" w:initials="YT">
    <w:p w14:paraId="26FC915C" w14:textId="135D71ED" w:rsidR="009D15E0" w:rsidRDefault="009D15E0" w:rsidP="00577380">
      <w:pPr>
        <w:pStyle w:val="a5"/>
      </w:pPr>
      <w:r>
        <w:rPr>
          <w:rStyle w:val="a4"/>
        </w:rPr>
        <w:annotationRef/>
      </w:r>
      <w:r>
        <w:t>I will fact check this</w:t>
      </w:r>
    </w:p>
  </w:comment>
  <w:comment w:id="2" w:author="Chen, Yen-Ting" w:date="2023-09-10T23:43:00Z" w:initials="YT">
    <w:p w14:paraId="0FC46A17" w14:textId="7D4A89F0" w:rsidR="009D15E0" w:rsidRDefault="009D15E0">
      <w:pPr>
        <w:pStyle w:val="a5"/>
      </w:pPr>
      <w:r>
        <w:rPr>
          <w:rStyle w:val="a4"/>
        </w:rPr>
        <w:annotationRef/>
      </w:r>
      <w:r>
        <w:t>Come up with a new word for this</w:t>
      </w:r>
    </w:p>
  </w:comment>
  <w:comment w:id="3" w:author="Chen, Yen-Ting" w:date="2023-09-08T11:31:00Z" w:initials="YT">
    <w:p w14:paraId="3AFD1466" w14:textId="2436F606" w:rsidR="009D15E0" w:rsidRDefault="009D15E0" w:rsidP="002506A6">
      <w:pPr>
        <w:pStyle w:val="a5"/>
      </w:pPr>
      <w:r>
        <w:rPr>
          <w:rStyle w:val="a4"/>
        </w:rPr>
        <w:annotationRef/>
      </w:r>
      <w:r>
        <w:t>Perhaps deserve a full paragraph describing the pattern.</w:t>
      </w:r>
    </w:p>
    <w:p w14:paraId="513F3271" w14:textId="77777777" w:rsidR="009D15E0" w:rsidRDefault="009D15E0">
      <w:pPr>
        <w:pStyle w:val="a5"/>
      </w:pPr>
      <w:r>
        <w:t>Revise the citations</w:t>
      </w:r>
    </w:p>
    <w:p w14:paraId="2119BCEB" w14:textId="4A8451B4" w:rsidR="009D15E0" w:rsidRDefault="009D15E0">
      <w:pPr>
        <w:pStyle w:val="a5"/>
      </w:pPr>
    </w:p>
  </w:comment>
  <w:comment w:id="4" w:author="Chen, Yen-Ting" w:date="2023-09-06T15:31:00Z" w:initials="YT">
    <w:p w14:paraId="607DC826" w14:textId="1171D45B" w:rsidR="009D15E0" w:rsidRDefault="009D15E0">
      <w:pPr>
        <w:pStyle w:val="a5"/>
      </w:pPr>
      <w:r>
        <w:rPr>
          <w:rStyle w:val="a4"/>
        </w:rPr>
        <w:annotationRef/>
      </w:r>
      <w:r>
        <w:t xml:space="preserve">This is probably not clear enough </w:t>
      </w:r>
    </w:p>
  </w:comment>
  <w:comment w:id="5" w:author="Chen, Yen-Ting" w:date="2023-09-08T15:02:00Z" w:initials="YT">
    <w:p w14:paraId="324D2E0E" w14:textId="333B365C" w:rsidR="009D15E0" w:rsidRDefault="009D15E0">
      <w:pPr>
        <w:pStyle w:val="a5"/>
      </w:pPr>
      <w:r>
        <w:rPr>
          <w:rStyle w:val="a4"/>
        </w:rPr>
        <w:annotationRef/>
      </w:r>
      <w:r>
        <w:t>The distance between each object and the multivariate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2C7FF3" w15:done="0"/>
  <w15:commentEx w15:paraId="26FC915C" w15:done="0"/>
  <w15:commentEx w15:paraId="0FC46A17" w15:done="0"/>
  <w15:commentEx w15:paraId="2119BCEB" w15:done="0"/>
  <w15:commentEx w15:paraId="607DC826" w15:done="0"/>
  <w15:commentEx w15:paraId="324D2E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2C7FF3" w16cid:durableId="289CC1CB"/>
  <w16cid:commentId w16cid:paraId="26FC915C" w16cid:durableId="289CCDC5"/>
  <w16cid:commentId w16cid:paraId="0FC46A17" w16cid:durableId="28A8D33A"/>
  <w16cid:commentId w16cid:paraId="2119BCEB" w16cid:durableId="28A58482"/>
  <w16cid:commentId w16cid:paraId="607DC826" w16cid:durableId="28A319D1"/>
  <w16cid:commentId w16cid:paraId="324D2E0E" w16cid:durableId="28A5B6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FA5A" w14:textId="77777777" w:rsidR="00CD229B" w:rsidRDefault="00CD229B" w:rsidP="00577380">
      <w:r>
        <w:separator/>
      </w:r>
    </w:p>
  </w:endnote>
  <w:endnote w:type="continuationSeparator" w:id="0">
    <w:p w14:paraId="57BEDE56" w14:textId="77777777" w:rsidR="00CD229B" w:rsidRDefault="00CD229B"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08C9B" w14:textId="77777777" w:rsidR="00CD229B" w:rsidRDefault="00CD229B" w:rsidP="00577380">
      <w:r>
        <w:separator/>
      </w:r>
    </w:p>
  </w:footnote>
  <w:footnote w:type="continuationSeparator" w:id="0">
    <w:p w14:paraId="0F092057" w14:textId="77777777" w:rsidR="00CD229B" w:rsidRDefault="00CD229B"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F0D"/>
    <w:multiLevelType w:val="hybridMultilevel"/>
    <w:tmpl w:val="3BC4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1927504"/>
    <w:multiLevelType w:val="multilevel"/>
    <w:tmpl w:val="C60EBB2E"/>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55CB25A2"/>
    <w:multiLevelType w:val="hybridMultilevel"/>
    <w:tmpl w:val="04302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6"/>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9D"/>
    <w:rsid w:val="00007FF0"/>
    <w:rsid w:val="00010A81"/>
    <w:rsid w:val="00014B2B"/>
    <w:rsid w:val="000258C2"/>
    <w:rsid w:val="00030ED6"/>
    <w:rsid w:val="000447C5"/>
    <w:rsid w:val="00060B99"/>
    <w:rsid w:val="00067757"/>
    <w:rsid w:val="000A038A"/>
    <w:rsid w:val="000B09CB"/>
    <w:rsid w:val="000D001B"/>
    <w:rsid w:val="000E0BFC"/>
    <w:rsid w:val="00117E90"/>
    <w:rsid w:val="00160B6B"/>
    <w:rsid w:val="00161035"/>
    <w:rsid w:val="0017572A"/>
    <w:rsid w:val="0017616C"/>
    <w:rsid w:val="0019104F"/>
    <w:rsid w:val="001B4B43"/>
    <w:rsid w:val="001D0CAF"/>
    <w:rsid w:val="001D585C"/>
    <w:rsid w:val="001E4CBB"/>
    <w:rsid w:val="001E76AC"/>
    <w:rsid w:val="001F2CA9"/>
    <w:rsid w:val="002133CA"/>
    <w:rsid w:val="00226EA8"/>
    <w:rsid w:val="002275A8"/>
    <w:rsid w:val="00236575"/>
    <w:rsid w:val="00244A44"/>
    <w:rsid w:val="002506A6"/>
    <w:rsid w:val="00251635"/>
    <w:rsid w:val="00260380"/>
    <w:rsid w:val="002652DA"/>
    <w:rsid w:val="002817F5"/>
    <w:rsid w:val="002A0FE5"/>
    <w:rsid w:val="002A22B0"/>
    <w:rsid w:val="002C1ADA"/>
    <w:rsid w:val="002F7B73"/>
    <w:rsid w:val="00304E05"/>
    <w:rsid w:val="00346C19"/>
    <w:rsid w:val="00355D8B"/>
    <w:rsid w:val="0037566E"/>
    <w:rsid w:val="0037699D"/>
    <w:rsid w:val="00376BD4"/>
    <w:rsid w:val="00380EB6"/>
    <w:rsid w:val="00383B79"/>
    <w:rsid w:val="003B37B8"/>
    <w:rsid w:val="003D4F71"/>
    <w:rsid w:val="003E72BD"/>
    <w:rsid w:val="003F2EBE"/>
    <w:rsid w:val="0043219A"/>
    <w:rsid w:val="00432FDF"/>
    <w:rsid w:val="004377F8"/>
    <w:rsid w:val="004561E1"/>
    <w:rsid w:val="00473AE6"/>
    <w:rsid w:val="0048039B"/>
    <w:rsid w:val="004960F9"/>
    <w:rsid w:val="004A179A"/>
    <w:rsid w:val="004C51C3"/>
    <w:rsid w:val="004E08A3"/>
    <w:rsid w:val="004E115B"/>
    <w:rsid w:val="004E14CE"/>
    <w:rsid w:val="004E22B6"/>
    <w:rsid w:val="00502E31"/>
    <w:rsid w:val="0050333C"/>
    <w:rsid w:val="0050526C"/>
    <w:rsid w:val="0052687C"/>
    <w:rsid w:val="00530514"/>
    <w:rsid w:val="00551EC8"/>
    <w:rsid w:val="00561DBA"/>
    <w:rsid w:val="0057453E"/>
    <w:rsid w:val="00577380"/>
    <w:rsid w:val="00592BEB"/>
    <w:rsid w:val="005A6D9A"/>
    <w:rsid w:val="005B0207"/>
    <w:rsid w:val="005C4000"/>
    <w:rsid w:val="005C726D"/>
    <w:rsid w:val="005D761B"/>
    <w:rsid w:val="005F39B0"/>
    <w:rsid w:val="0062468E"/>
    <w:rsid w:val="00642701"/>
    <w:rsid w:val="00663F7A"/>
    <w:rsid w:val="006669F5"/>
    <w:rsid w:val="0067188B"/>
    <w:rsid w:val="0067743C"/>
    <w:rsid w:val="0069054C"/>
    <w:rsid w:val="006C627E"/>
    <w:rsid w:val="006D4CC7"/>
    <w:rsid w:val="006F7AF0"/>
    <w:rsid w:val="00730D94"/>
    <w:rsid w:val="00745EA6"/>
    <w:rsid w:val="00764A29"/>
    <w:rsid w:val="00785A15"/>
    <w:rsid w:val="00792C26"/>
    <w:rsid w:val="007A04B6"/>
    <w:rsid w:val="007A21DD"/>
    <w:rsid w:val="007B43DF"/>
    <w:rsid w:val="007D191B"/>
    <w:rsid w:val="007D36E0"/>
    <w:rsid w:val="007D60A0"/>
    <w:rsid w:val="007F3A1F"/>
    <w:rsid w:val="007F708F"/>
    <w:rsid w:val="0080512A"/>
    <w:rsid w:val="00836558"/>
    <w:rsid w:val="00843846"/>
    <w:rsid w:val="00844B03"/>
    <w:rsid w:val="0084763A"/>
    <w:rsid w:val="00855FAA"/>
    <w:rsid w:val="00866128"/>
    <w:rsid w:val="00870A6A"/>
    <w:rsid w:val="00885FB1"/>
    <w:rsid w:val="008A6549"/>
    <w:rsid w:val="008B1472"/>
    <w:rsid w:val="008C166F"/>
    <w:rsid w:val="008C7EBE"/>
    <w:rsid w:val="008D5AC9"/>
    <w:rsid w:val="008F0CE4"/>
    <w:rsid w:val="008F6C6F"/>
    <w:rsid w:val="009043AB"/>
    <w:rsid w:val="0093423C"/>
    <w:rsid w:val="00934839"/>
    <w:rsid w:val="00952BC5"/>
    <w:rsid w:val="009727B3"/>
    <w:rsid w:val="009778EF"/>
    <w:rsid w:val="0098589E"/>
    <w:rsid w:val="00991FAB"/>
    <w:rsid w:val="009A7547"/>
    <w:rsid w:val="009B0A91"/>
    <w:rsid w:val="009D15E0"/>
    <w:rsid w:val="00A02794"/>
    <w:rsid w:val="00A04402"/>
    <w:rsid w:val="00A11B2E"/>
    <w:rsid w:val="00A21C03"/>
    <w:rsid w:val="00A22B49"/>
    <w:rsid w:val="00A23BF0"/>
    <w:rsid w:val="00A30BC8"/>
    <w:rsid w:val="00A6732E"/>
    <w:rsid w:val="00A71AEF"/>
    <w:rsid w:val="00A77FD2"/>
    <w:rsid w:val="00A874E5"/>
    <w:rsid w:val="00AA60EE"/>
    <w:rsid w:val="00AA67C5"/>
    <w:rsid w:val="00AB3B4F"/>
    <w:rsid w:val="00AE0199"/>
    <w:rsid w:val="00AF39F9"/>
    <w:rsid w:val="00AF5636"/>
    <w:rsid w:val="00B02C31"/>
    <w:rsid w:val="00B03DF4"/>
    <w:rsid w:val="00B13A3A"/>
    <w:rsid w:val="00B26E32"/>
    <w:rsid w:val="00B32EEB"/>
    <w:rsid w:val="00B3324A"/>
    <w:rsid w:val="00B66926"/>
    <w:rsid w:val="00B86D10"/>
    <w:rsid w:val="00B87748"/>
    <w:rsid w:val="00BC1CDE"/>
    <w:rsid w:val="00BC3D19"/>
    <w:rsid w:val="00BC5A6A"/>
    <w:rsid w:val="00BD17AD"/>
    <w:rsid w:val="00BF034C"/>
    <w:rsid w:val="00BF3177"/>
    <w:rsid w:val="00BF602D"/>
    <w:rsid w:val="00C06552"/>
    <w:rsid w:val="00C072F9"/>
    <w:rsid w:val="00C16D16"/>
    <w:rsid w:val="00C23574"/>
    <w:rsid w:val="00C32BE3"/>
    <w:rsid w:val="00C613C8"/>
    <w:rsid w:val="00C71636"/>
    <w:rsid w:val="00C90799"/>
    <w:rsid w:val="00C90BEE"/>
    <w:rsid w:val="00CA7D60"/>
    <w:rsid w:val="00CC1A78"/>
    <w:rsid w:val="00CC1F2B"/>
    <w:rsid w:val="00CD229B"/>
    <w:rsid w:val="00CD5164"/>
    <w:rsid w:val="00CE06A1"/>
    <w:rsid w:val="00CF1BFB"/>
    <w:rsid w:val="00CF261F"/>
    <w:rsid w:val="00D22AFB"/>
    <w:rsid w:val="00D2663C"/>
    <w:rsid w:val="00D479FB"/>
    <w:rsid w:val="00D84471"/>
    <w:rsid w:val="00D866C2"/>
    <w:rsid w:val="00D9524C"/>
    <w:rsid w:val="00D96252"/>
    <w:rsid w:val="00DA6271"/>
    <w:rsid w:val="00DB09D4"/>
    <w:rsid w:val="00DB26AF"/>
    <w:rsid w:val="00DB5057"/>
    <w:rsid w:val="00DD5A12"/>
    <w:rsid w:val="00DE0496"/>
    <w:rsid w:val="00DE2978"/>
    <w:rsid w:val="00DF40C4"/>
    <w:rsid w:val="00E0277E"/>
    <w:rsid w:val="00E0490B"/>
    <w:rsid w:val="00E100AF"/>
    <w:rsid w:val="00E15B6A"/>
    <w:rsid w:val="00E16803"/>
    <w:rsid w:val="00E27A2F"/>
    <w:rsid w:val="00E3642C"/>
    <w:rsid w:val="00E364F2"/>
    <w:rsid w:val="00E3699B"/>
    <w:rsid w:val="00E650B8"/>
    <w:rsid w:val="00E6647E"/>
    <w:rsid w:val="00E90F05"/>
    <w:rsid w:val="00EA0B3E"/>
    <w:rsid w:val="00EB46AB"/>
    <w:rsid w:val="00EF64E8"/>
    <w:rsid w:val="00F04468"/>
    <w:rsid w:val="00F055D2"/>
    <w:rsid w:val="00F239EB"/>
    <w:rsid w:val="00F44681"/>
    <w:rsid w:val="00F47211"/>
    <w:rsid w:val="00F605FB"/>
    <w:rsid w:val="00F667D6"/>
    <w:rsid w:val="00F821DB"/>
    <w:rsid w:val="00FA4F55"/>
    <w:rsid w:val="00FC2E1B"/>
    <w:rsid w:val="00FC7E1C"/>
    <w:rsid w:val="00FE5EDA"/>
    <w:rsid w:val="00FF6F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7380"/>
    <w:pPr>
      <w:widowControl w:val="0"/>
      <w:spacing w:after="0" w:line="480" w:lineRule="auto"/>
      <w:ind w:firstLine="72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04F"/>
    <w:pPr>
      <w:ind w:left="720"/>
      <w:contextualSpacing/>
    </w:pPr>
  </w:style>
  <w:style w:type="character" w:styleId="a4">
    <w:name w:val="annotation reference"/>
    <w:basedOn w:val="a0"/>
    <w:uiPriority w:val="99"/>
    <w:semiHidden/>
    <w:unhideWhenUsed/>
    <w:rsid w:val="00991FAB"/>
    <w:rPr>
      <w:sz w:val="16"/>
      <w:szCs w:val="16"/>
    </w:rPr>
  </w:style>
  <w:style w:type="paragraph" w:styleId="a5">
    <w:name w:val="annotation text"/>
    <w:basedOn w:val="a"/>
    <w:link w:val="a6"/>
    <w:uiPriority w:val="99"/>
    <w:unhideWhenUsed/>
    <w:rsid w:val="00991FAB"/>
    <w:pPr>
      <w:spacing w:line="240" w:lineRule="auto"/>
    </w:pPr>
    <w:rPr>
      <w:sz w:val="20"/>
      <w:szCs w:val="20"/>
    </w:rPr>
  </w:style>
  <w:style w:type="character" w:customStyle="1" w:styleId="a6">
    <w:name w:val="註解文字 字元"/>
    <w:basedOn w:val="a0"/>
    <w:link w:val="a5"/>
    <w:uiPriority w:val="99"/>
    <w:rsid w:val="00991FAB"/>
    <w:rPr>
      <w:sz w:val="20"/>
      <w:szCs w:val="20"/>
    </w:rPr>
  </w:style>
  <w:style w:type="paragraph" w:styleId="a7">
    <w:name w:val="annotation subject"/>
    <w:basedOn w:val="a5"/>
    <w:next w:val="a5"/>
    <w:link w:val="a8"/>
    <w:uiPriority w:val="99"/>
    <w:semiHidden/>
    <w:unhideWhenUsed/>
    <w:rsid w:val="00991FAB"/>
    <w:rPr>
      <w:b/>
      <w:bCs/>
    </w:rPr>
  </w:style>
  <w:style w:type="character" w:customStyle="1" w:styleId="a8">
    <w:name w:val="註解主旨 字元"/>
    <w:basedOn w:val="a6"/>
    <w:link w:val="a7"/>
    <w:uiPriority w:val="99"/>
    <w:semiHidden/>
    <w:rsid w:val="00991FAB"/>
    <w:rPr>
      <w:b/>
      <w:bCs/>
      <w:sz w:val="20"/>
      <w:szCs w:val="20"/>
    </w:rPr>
  </w:style>
  <w:style w:type="paragraph" w:styleId="a9">
    <w:name w:val="Balloon Text"/>
    <w:basedOn w:val="a"/>
    <w:link w:val="aa"/>
    <w:uiPriority w:val="99"/>
    <w:semiHidden/>
    <w:unhideWhenUsed/>
    <w:rsid w:val="00991FAB"/>
    <w:pPr>
      <w:spacing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991FAB"/>
    <w:rPr>
      <w:rFonts w:ascii="Microsoft JhengHei UI" w:eastAsia="Microsoft JhengHei UI"/>
      <w:sz w:val="18"/>
      <w:szCs w:val="18"/>
    </w:rPr>
  </w:style>
  <w:style w:type="character" w:styleId="ab">
    <w:name w:val="Hyperlink"/>
    <w:basedOn w:val="a0"/>
    <w:uiPriority w:val="99"/>
    <w:unhideWhenUsed/>
    <w:rsid w:val="00C072F9"/>
    <w:rPr>
      <w:color w:val="0563C1" w:themeColor="hyperlink"/>
      <w:u w:val="single"/>
    </w:rPr>
  </w:style>
  <w:style w:type="character" w:styleId="ac">
    <w:name w:val="Unresolved Mention"/>
    <w:basedOn w:val="a0"/>
    <w:uiPriority w:val="99"/>
    <w:semiHidden/>
    <w:unhideWhenUsed/>
    <w:rsid w:val="00C072F9"/>
    <w:rPr>
      <w:color w:val="605E5C"/>
      <w:shd w:val="clear" w:color="auto" w:fill="E1DFDD"/>
    </w:rPr>
  </w:style>
  <w:style w:type="paragraph" w:customStyle="1" w:styleId="Title1">
    <w:name w:val="Title 1"/>
    <w:basedOn w:val="ad"/>
    <w:link w:val="Title10"/>
    <w:qFormat/>
    <w:rsid w:val="004E22B6"/>
    <w:pPr>
      <w:numPr>
        <w:numId w:val="8"/>
      </w:numPr>
      <w:spacing w:line="480" w:lineRule="auto"/>
    </w:pPr>
    <w:rPr>
      <w:rFonts w:asciiTheme="minorHAnsi" w:hAnsiTheme="minorHAnsi"/>
      <w:sz w:val="24"/>
    </w:rPr>
  </w:style>
  <w:style w:type="paragraph" w:styleId="ad">
    <w:name w:val="Title"/>
    <w:basedOn w:val="a"/>
    <w:next w:val="a"/>
    <w:link w:val="ae"/>
    <w:uiPriority w:val="10"/>
    <w:qFormat/>
    <w:rsid w:val="0067188B"/>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標題 字元"/>
    <w:basedOn w:val="a0"/>
    <w:link w:val="ad"/>
    <w:uiPriority w:val="10"/>
    <w:rsid w:val="0067188B"/>
    <w:rPr>
      <w:rFonts w:asciiTheme="majorHAnsi" w:eastAsiaTheme="majorEastAsia" w:hAnsiTheme="majorHAnsi" w:cstheme="majorBidi"/>
      <w:spacing w:val="-10"/>
      <w:kern w:val="28"/>
      <w:sz w:val="56"/>
      <w:szCs w:val="56"/>
    </w:rPr>
  </w:style>
  <w:style w:type="character" w:customStyle="1" w:styleId="Title10">
    <w:name w:val="Title 1 字元"/>
    <w:basedOn w:val="ae"/>
    <w:link w:val="Title1"/>
    <w:rsid w:val="004E22B6"/>
    <w:rPr>
      <w:rFonts w:asciiTheme="majorHAnsi" w:eastAsiaTheme="majorEastAsia" w:hAnsiTheme="majorHAnsi" w:cstheme="majorBidi"/>
      <w:spacing w:val="-10"/>
      <w:kern w:val="28"/>
      <w:sz w:val="24"/>
      <w:szCs w:val="56"/>
    </w:rPr>
  </w:style>
  <w:style w:type="character" w:styleId="af">
    <w:name w:val="line number"/>
    <w:basedOn w:val="a0"/>
    <w:uiPriority w:val="99"/>
    <w:semiHidden/>
    <w:unhideWhenUsed/>
    <w:rsid w:val="00934839"/>
  </w:style>
  <w:style w:type="paragraph" w:customStyle="1" w:styleId="Title2">
    <w:name w:val="Title 2"/>
    <w:basedOn w:val="a"/>
    <w:link w:val="Title20"/>
    <w:qFormat/>
    <w:rsid w:val="004E22B6"/>
    <w:pPr>
      <w:numPr>
        <w:ilvl w:val="1"/>
        <w:numId w:val="8"/>
      </w:numPr>
    </w:pPr>
  </w:style>
  <w:style w:type="paragraph" w:styleId="af0">
    <w:name w:val="Bibliography"/>
    <w:basedOn w:val="a"/>
    <w:next w:val="a"/>
    <w:uiPriority w:val="37"/>
    <w:unhideWhenUsed/>
    <w:rsid w:val="005B0207"/>
    <w:pPr>
      <w:spacing w:line="240" w:lineRule="auto"/>
      <w:ind w:left="720" w:hanging="720"/>
    </w:pPr>
  </w:style>
  <w:style w:type="character" w:customStyle="1" w:styleId="Title20">
    <w:name w:val="Title 2 字元"/>
    <w:basedOn w:val="a0"/>
    <w:link w:val="Title2"/>
    <w:rsid w:val="004E22B6"/>
    <w:rPr>
      <w:sz w:val="24"/>
    </w:rPr>
  </w:style>
  <w:style w:type="paragraph" w:styleId="af1">
    <w:name w:val="header"/>
    <w:basedOn w:val="a"/>
    <w:link w:val="af2"/>
    <w:uiPriority w:val="99"/>
    <w:unhideWhenUsed/>
    <w:rsid w:val="00BC5A6A"/>
    <w:pPr>
      <w:tabs>
        <w:tab w:val="center" w:pos="4320"/>
        <w:tab w:val="right" w:pos="8640"/>
      </w:tabs>
      <w:spacing w:line="240" w:lineRule="auto"/>
    </w:pPr>
  </w:style>
  <w:style w:type="character" w:customStyle="1" w:styleId="af2">
    <w:name w:val="頁首 字元"/>
    <w:basedOn w:val="a0"/>
    <w:link w:val="af1"/>
    <w:uiPriority w:val="99"/>
    <w:rsid w:val="00BC5A6A"/>
    <w:rPr>
      <w:sz w:val="24"/>
    </w:rPr>
  </w:style>
  <w:style w:type="paragraph" w:styleId="af3">
    <w:name w:val="footer"/>
    <w:basedOn w:val="a"/>
    <w:link w:val="af4"/>
    <w:uiPriority w:val="99"/>
    <w:unhideWhenUsed/>
    <w:rsid w:val="00BC5A6A"/>
    <w:pPr>
      <w:tabs>
        <w:tab w:val="center" w:pos="4320"/>
        <w:tab w:val="right" w:pos="8640"/>
      </w:tabs>
      <w:spacing w:line="240" w:lineRule="auto"/>
    </w:pPr>
  </w:style>
  <w:style w:type="character" w:customStyle="1" w:styleId="af4">
    <w:name w:val="頁尾 字元"/>
    <w:basedOn w:val="a0"/>
    <w:link w:val="af3"/>
    <w:uiPriority w:val="99"/>
    <w:rsid w:val="00BC5A6A"/>
    <w:rPr>
      <w:sz w:val="24"/>
    </w:rPr>
  </w:style>
  <w:style w:type="character" w:styleId="af5">
    <w:name w:val="Placeholder Text"/>
    <w:basedOn w:val="a0"/>
    <w:uiPriority w:val="99"/>
    <w:semiHidden/>
    <w:rsid w:val="00D22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wei@ntu.edu.tw"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AEF6-69E9-4861-9603-5007FD9F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15</Pages>
  <Words>14402</Words>
  <Characters>82093</Characters>
  <Application>Microsoft Office Word</Application>
  <DocSecurity>0</DocSecurity>
  <Lines>684</Lines>
  <Paragraphs>192</Paragraphs>
  <ScaleCrop>false</ScaleCrop>
  <Company/>
  <LinksUpToDate>false</LinksUpToDate>
  <CharactersWithSpaces>96303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45</cp:revision>
  <dcterms:created xsi:type="dcterms:W3CDTF">2023-09-01T17:45:00Z</dcterms:created>
  <dcterms:modified xsi:type="dcterms:W3CDTF">2023-09-12T22:36:00Z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id="AxYmHO5P"/&gt;&lt;style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ies>
</file>