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018DE" w14:textId="77777777" w:rsidR="0037699D" w:rsidRPr="00341550" w:rsidRDefault="0037699D" w:rsidP="00341550">
      <w:pPr>
        <w:pStyle w:val="ad"/>
      </w:pPr>
      <w:commentRangeStart w:id="0"/>
      <w:r w:rsidRPr="00341550">
        <w:t>Spatiotemporal patterns and</w:t>
      </w:r>
      <w:r w:rsidRPr="00341550">
        <w:rPr>
          <w:rFonts w:hint="eastAsia"/>
        </w:rPr>
        <w:t xml:space="preserve"> </w:t>
      </w:r>
      <w:r w:rsidRPr="00341550">
        <w:t>environmental drivers of macrofauna and sediment community oxygen consumption of the Gaoping Continental Shelf off southern Taiwan</w:t>
      </w:r>
      <w:commentRangeEnd w:id="0"/>
      <w:r w:rsidR="00991FAB" w:rsidRPr="00341550">
        <w:rPr>
          <w:rStyle w:val="a4"/>
          <w:sz w:val="24"/>
          <w:szCs w:val="24"/>
        </w:rPr>
        <w:commentReference w:id="0"/>
      </w:r>
    </w:p>
    <w:p w14:paraId="6566BF55" w14:textId="778BC6B8" w:rsidR="0037699D" w:rsidRPr="00AD42AC" w:rsidRDefault="0037699D" w:rsidP="00341550">
      <w:pPr>
        <w:pStyle w:val="ad"/>
      </w:pPr>
      <w:r w:rsidRPr="00AD42AC">
        <w:t>Authors: Yen-Ting Chen</w:t>
      </w:r>
      <w:r w:rsidR="0019104F" w:rsidRPr="00AD42AC">
        <w:rPr>
          <w:vertAlign w:val="superscript"/>
        </w:rPr>
        <w:t>a,b</w:t>
      </w:r>
      <w:r w:rsidRPr="00AD42AC">
        <w:t xml:space="preserve"> (</w:t>
      </w:r>
      <w:r w:rsidRPr="00AD42AC">
        <w:rPr>
          <w:rFonts w:hint="eastAsia"/>
        </w:rPr>
        <w:t>陳彥廷</w:t>
      </w:r>
      <w:r w:rsidRPr="00AD42AC">
        <w:t>), Chih-Lin Wei</w:t>
      </w:r>
      <w:r w:rsidR="0019104F" w:rsidRPr="00AD42AC">
        <w:rPr>
          <w:rFonts w:hint="eastAsia"/>
          <w:vertAlign w:val="superscript"/>
        </w:rPr>
        <w:t>a</w:t>
      </w:r>
      <w:r w:rsidR="00C072F9" w:rsidRPr="00AD42AC">
        <w:rPr>
          <w:vertAlign w:val="superscript"/>
        </w:rPr>
        <w:t>,</w:t>
      </w:r>
      <w:r w:rsidR="0019104F" w:rsidRPr="00AD42AC">
        <w:rPr>
          <w:vertAlign w:val="superscript"/>
        </w:rPr>
        <w:t>*</w:t>
      </w:r>
      <w:r w:rsidRPr="00AD42AC">
        <w:rPr>
          <w:rFonts w:hint="eastAsia"/>
        </w:rPr>
        <w:t>(</w:t>
      </w:r>
      <w:r w:rsidR="0019104F" w:rsidRPr="00AD42AC">
        <w:rPr>
          <w:rFonts w:hint="eastAsia"/>
        </w:rPr>
        <w:t>魏志潾</w:t>
      </w:r>
      <w:r w:rsidRPr="00AD42AC">
        <w:rPr>
          <w:rFonts w:hint="eastAsia"/>
        </w:rPr>
        <w:t>)</w:t>
      </w:r>
    </w:p>
    <w:p w14:paraId="31C7130B" w14:textId="77777777" w:rsidR="0037699D" w:rsidRPr="00AD42AC" w:rsidRDefault="0019104F" w:rsidP="00341550">
      <w:pPr>
        <w:pStyle w:val="ad"/>
      </w:pPr>
      <w:r w:rsidRPr="00135B6B">
        <w:rPr>
          <w:vertAlign w:val="superscript"/>
        </w:rPr>
        <w:t>a</w:t>
      </w:r>
      <w:r w:rsidRPr="00AD42AC">
        <w:t xml:space="preserve"> </w:t>
      </w:r>
      <w:r w:rsidR="0037699D" w:rsidRPr="00AD42AC">
        <w:t xml:space="preserve">Institute of Oceanography, National Taiwan University, </w:t>
      </w:r>
      <w:r w:rsidRPr="00AD42AC">
        <w:t>No.1, Sec. 4, Roosevelt Road, Taipei, 106319 Taiwan</w:t>
      </w:r>
    </w:p>
    <w:p w14:paraId="3D326DCE" w14:textId="77777777" w:rsidR="0037699D" w:rsidRPr="00341550" w:rsidRDefault="0019104F" w:rsidP="00341550">
      <w:pPr>
        <w:pStyle w:val="ad"/>
        <w:rPr>
          <w:lang w:val="da-DK"/>
        </w:rPr>
      </w:pPr>
      <w:r w:rsidRPr="00341550">
        <w:rPr>
          <w:vertAlign w:val="superscript"/>
          <w:lang w:val="da-DK"/>
        </w:rPr>
        <w:t>b</w:t>
      </w:r>
      <w:r w:rsidRPr="00341550">
        <w:rPr>
          <w:lang w:val="da-DK"/>
        </w:rPr>
        <w:t xml:space="preserve"> </w:t>
      </w:r>
      <w:r w:rsidR="0037699D" w:rsidRPr="00341550">
        <w:rPr>
          <w:lang w:val="da-DK"/>
        </w:rPr>
        <w:t xml:space="preserve">Syddansk Universitet, </w:t>
      </w:r>
      <w:r w:rsidRPr="00341550">
        <w:rPr>
          <w:lang w:val="da-DK"/>
        </w:rPr>
        <w:t xml:space="preserve">Campusvej 55, DK-5230, Odense M, </w:t>
      </w:r>
      <w:r w:rsidR="0037699D" w:rsidRPr="00341550">
        <w:rPr>
          <w:lang w:val="da-DK"/>
        </w:rPr>
        <w:t>Denmark</w:t>
      </w:r>
    </w:p>
    <w:p w14:paraId="52AB4563" w14:textId="36944C2C" w:rsidR="0019104F" w:rsidRPr="00AD42AC" w:rsidRDefault="0019104F" w:rsidP="00341550">
      <w:pPr>
        <w:pStyle w:val="ad"/>
      </w:pPr>
      <w:r w:rsidRPr="00AD42AC">
        <w:t xml:space="preserve">* </w:t>
      </w:r>
      <w:r w:rsidR="00C072F9" w:rsidRPr="00AD42AC">
        <w:t>E-mail address</w:t>
      </w:r>
      <w:r w:rsidRPr="00AD42AC">
        <w:t xml:space="preserve">: </w:t>
      </w:r>
      <w:hyperlink r:id="rId11" w:history="1">
        <w:r w:rsidR="00C072F9" w:rsidRPr="00AD42AC">
          <w:rPr>
            <w:rStyle w:val="ab"/>
            <w:color w:val="auto"/>
            <w:u w:val="none"/>
          </w:rPr>
          <w:t>clwei@ntu.edu.tw</w:t>
        </w:r>
      </w:hyperlink>
      <w:r w:rsidR="00C072F9" w:rsidRPr="00AD42AC">
        <w:t xml:space="preserve"> (</w:t>
      </w:r>
      <w:r w:rsidRPr="00AD42AC">
        <w:t>C</w:t>
      </w:r>
      <w:r w:rsidR="00C072F9" w:rsidRPr="00AD42AC">
        <w:t>.</w:t>
      </w:r>
      <w:r w:rsidRPr="00AD42AC">
        <w:t>-L</w:t>
      </w:r>
      <w:r w:rsidR="00C072F9" w:rsidRPr="00AD42AC">
        <w:t>.</w:t>
      </w:r>
      <w:r w:rsidRPr="00AD42AC">
        <w:t xml:space="preserve"> Wei</w:t>
      </w:r>
      <w:r w:rsidR="00C072F9" w:rsidRPr="00AD42AC">
        <w:t>)</w:t>
      </w:r>
    </w:p>
    <w:p w14:paraId="0C0F4EAA" w14:textId="31AC96B9" w:rsidR="00304E05" w:rsidRDefault="00304E05" w:rsidP="00341550">
      <w:pPr>
        <w:pStyle w:val="ad"/>
      </w:pPr>
      <w:r>
        <w:rPr>
          <w:rFonts w:hint="eastAsia"/>
        </w:rPr>
        <w:t>A</w:t>
      </w:r>
      <w:r>
        <w:t>bstract</w:t>
      </w:r>
    </w:p>
    <w:p w14:paraId="451F0954" w14:textId="34DD9372" w:rsidR="00304E05" w:rsidRDefault="00304E05" w:rsidP="00341550">
      <w:pPr>
        <w:pStyle w:val="ad"/>
      </w:pPr>
      <w:r>
        <w:t>Keywords: Authors must provide 4 to 6 keywords plus regional index terms. At least four of the subject keywords should be selected from the Aquatic Science &amp; Fisheries Thesaurus.</w:t>
      </w:r>
    </w:p>
    <w:p w14:paraId="16F13B26" w14:textId="45EDC646" w:rsidR="00304E05" w:rsidRDefault="00EA014F" w:rsidP="00341550">
      <w:pPr>
        <w:pStyle w:val="ad"/>
      </w:pPr>
      <w:r>
        <w:t xml:space="preserve">Proposed keywords: </w:t>
      </w:r>
      <w:r w:rsidR="00830B30">
        <w:t xml:space="preserve">River-influenced oceanic margins, </w:t>
      </w:r>
      <w:r>
        <w:t>continental shelf, macrofauna, oxygen consumption</w:t>
      </w:r>
    </w:p>
    <w:p w14:paraId="0F91C0BB" w14:textId="225A5937" w:rsidR="0037699D" w:rsidRPr="00952BC5" w:rsidRDefault="0037699D" w:rsidP="00FF054F">
      <w:pPr>
        <w:pStyle w:val="Title1"/>
        <w:numPr>
          <w:ilvl w:val="0"/>
          <w:numId w:val="14"/>
        </w:numPr>
      </w:pPr>
      <w:r w:rsidRPr="00952BC5">
        <w:t>Introduction</w:t>
      </w:r>
    </w:p>
    <w:p w14:paraId="1C5B6E80" w14:textId="121FBB30" w:rsidR="00952BC5" w:rsidRDefault="00952BC5" w:rsidP="00577380">
      <w:pPr>
        <w:pStyle w:val="a3"/>
        <w:numPr>
          <w:ilvl w:val="0"/>
          <w:numId w:val="2"/>
        </w:numPr>
      </w:pPr>
      <w:r>
        <w:t>Background</w:t>
      </w:r>
    </w:p>
    <w:p w14:paraId="665CD6D5" w14:textId="28BD8D24" w:rsidR="00B02C31" w:rsidRDefault="00B02C31" w:rsidP="00577380">
      <w:pPr>
        <w:pStyle w:val="a3"/>
        <w:numPr>
          <w:ilvl w:val="1"/>
          <w:numId w:val="2"/>
        </w:numPr>
      </w:pPr>
      <w:r>
        <w:t>River-influenced oceanic margins (RiOMar)</w:t>
      </w:r>
    </w:p>
    <w:p w14:paraId="0ADC6B8F" w14:textId="1BA7A1DF" w:rsidR="00B02C31" w:rsidRDefault="00875BC5" w:rsidP="00577380">
      <w:pPr>
        <w:pStyle w:val="a3"/>
        <w:numPr>
          <w:ilvl w:val="1"/>
          <w:numId w:val="2"/>
        </w:numPr>
      </w:pPr>
      <w:r>
        <w:t>Data</w:t>
      </w:r>
      <w:r w:rsidR="00B02C31">
        <w:t xml:space="preserve"> (thesis</w:t>
      </w:r>
      <w:r w:rsidR="009D7647">
        <w:t xml:space="preserve"> first paragraph</w:t>
      </w:r>
      <w:r w:rsidR="00B02C31">
        <w:t>)</w:t>
      </w:r>
    </w:p>
    <w:p w14:paraId="7103205D" w14:textId="39629050" w:rsidR="00B02C31" w:rsidRPr="00B02C31" w:rsidRDefault="00B02C31" w:rsidP="00577380">
      <w:pPr>
        <w:pStyle w:val="a3"/>
        <w:numPr>
          <w:ilvl w:val="1"/>
          <w:numId w:val="2"/>
        </w:numPr>
      </w:pPr>
      <w:r>
        <w:t>Role of sediment metazoans</w:t>
      </w:r>
    </w:p>
    <w:p w14:paraId="774765C3" w14:textId="49DE4FD9" w:rsidR="00952BC5" w:rsidRDefault="00952BC5" w:rsidP="00577380">
      <w:pPr>
        <w:pStyle w:val="a3"/>
        <w:numPr>
          <w:ilvl w:val="0"/>
          <w:numId w:val="2"/>
        </w:numPr>
      </w:pPr>
      <w:r>
        <w:t>Theories and previous studies</w:t>
      </w:r>
    </w:p>
    <w:p w14:paraId="70AA1737" w14:textId="03D1CA72" w:rsidR="004C51C3" w:rsidRDefault="004C51C3" w:rsidP="00577380">
      <w:pPr>
        <w:pStyle w:val="a3"/>
        <w:numPr>
          <w:ilvl w:val="1"/>
          <w:numId w:val="2"/>
        </w:numPr>
      </w:pPr>
      <w:r>
        <w:t xml:space="preserve">Rhoads (1985) proposed that the benthic communities in the River-influenced oceanic margins are controlled by sedimentation </w:t>
      </w:r>
      <w:r w:rsidR="00B02C31">
        <w:t xml:space="preserve">stress </w:t>
      </w:r>
      <w:r>
        <w:t>and nutrient supplement</w:t>
      </w:r>
      <w:r w:rsidR="00B02C31">
        <w:t>ation</w:t>
      </w:r>
      <w:r>
        <w:t xml:space="preserve"> from the adjacent river. (elaborate)</w:t>
      </w:r>
    </w:p>
    <w:p w14:paraId="3C363106" w14:textId="7C40A115" w:rsidR="004C51C3" w:rsidRDefault="004C51C3" w:rsidP="00577380">
      <w:pPr>
        <w:pStyle w:val="a3"/>
        <w:numPr>
          <w:ilvl w:val="1"/>
          <w:numId w:val="2"/>
        </w:numPr>
      </w:pPr>
      <w:r>
        <w:t xml:space="preserve">Studies after Rhoads generally echoed Rhoad’s </w:t>
      </w:r>
      <w:r>
        <w:rPr>
          <w:rFonts w:hint="eastAsia"/>
        </w:rPr>
        <w:t>(1</w:t>
      </w:r>
      <w:r>
        <w:t>985</w:t>
      </w:r>
      <w:r>
        <w:rPr>
          <w:rFonts w:hint="eastAsia"/>
        </w:rPr>
        <w:t xml:space="preserve">) </w:t>
      </w:r>
      <w:r>
        <w:t>finding.</w:t>
      </w:r>
    </w:p>
    <w:p w14:paraId="2DBF60CC" w14:textId="784E763C" w:rsidR="00B02C31" w:rsidRDefault="00B02C31" w:rsidP="00577380">
      <w:pPr>
        <w:pStyle w:val="a3"/>
        <w:numPr>
          <w:ilvl w:val="1"/>
          <w:numId w:val="2"/>
        </w:numPr>
      </w:pPr>
      <w:r>
        <w:t>Loss of diversity and abundance after the river flood.</w:t>
      </w:r>
    </w:p>
    <w:p w14:paraId="56709DE3" w14:textId="171C24E0" w:rsidR="004C51C3" w:rsidRDefault="00B02C31" w:rsidP="00577380">
      <w:pPr>
        <w:pStyle w:val="a3"/>
        <w:numPr>
          <w:ilvl w:val="1"/>
          <w:numId w:val="2"/>
        </w:numPr>
      </w:pPr>
      <w:r>
        <w:t>Changes in vertical distribution.</w:t>
      </w:r>
    </w:p>
    <w:p w14:paraId="435C0B6B" w14:textId="1B39F91C" w:rsidR="00952BC5" w:rsidRDefault="00952BC5" w:rsidP="00577380">
      <w:pPr>
        <w:pStyle w:val="a3"/>
        <w:numPr>
          <w:ilvl w:val="0"/>
          <w:numId w:val="2"/>
        </w:numPr>
      </w:pPr>
      <w:r>
        <w:rPr>
          <w:rFonts w:hint="eastAsia"/>
        </w:rPr>
        <w:lastRenderedPageBreak/>
        <w:t>Cu</w:t>
      </w:r>
      <w:r>
        <w:t xml:space="preserve">rrent knowledge gaps </w:t>
      </w:r>
    </w:p>
    <w:p w14:paraId="1A167972" w14:textId="4DCA3273" w:rsidR="00952BC5" w:rsidRDefault="00952BC5" w:rsidP="00577380">
      <w:pPr>
        <w:pStyle w:val="a3"/>
        <w:numPr>
          <w:ilvl w:val="1"/>
          <w:numId w:val="2"/>
        </w:numPr>
      </w:pPr>
      <w:r>
        <w:t xml:space="preserve">To our knowledge, little attention </w:t>
      </w:r>
      <w:r w:rsidR="00B02C31">
        <w:t>w</w:t>
      </w:r>
      <w:r w:rsidR="00934839">
        <w:t>as</w:t>
      </w:r>
      <w:r w:rsidR="00B02C31">
        <w:t xml:space="preserve"> paid to the benthic communities </w:t>
      </w:r>
      <w:r>
        <w:t xml:space="preserve">at </w:t>
      </w:r>
      <w:r w:rsidR="00B02C31">
        <w:t xml:space="preserve">the oceanic margins </w:t>
      </w:r>
      <w:r w:rsidR="00934839">
        <w:t xml:space="preserve">adjacent to </w:t>
      </w:r>
      <w:r>
        <w:t>small mountainous rivers (SMR) (but see</w:t>
      </w:r>
      <w:r w:rsidR="00B02C31">
        <w:t xml:space="preserve"> </w:t>
      </w:r>
      <w:r w:rsidR="00934839">
        <w:fldChar w:fldCharType="begin"/>
      </w:r>
      <w:r w:rsidR="00FA4F55">
        <w:instrText xml:space="preserve"> ADDIN ZOTERO_ITEM CSL_CITATION {"citationID":"qKcBv0C0","properties":{"formattedCitation":"(Akoumianaki et al., 2013, 2006; Akoumianaki and Nicolaidou, 2007)","plainCitation":"(Akoumianaki et al., 2013, 2006; Akoumianaki and Nicolaidou, 2007)","dontUpdate":true,"noteIndex":0},"citationItems":[{"id":618,"uris":["http://zotero.org/users/6403124/items/3YV2QD5J"],"itemData":{"id":618,"type":"article-journal","abstract":"Macrofauna community interactions with environmental variables in the water column (salinity, temperature, turbidity, transparency, suspended particulate matter, particulate organic matter, choloroplastic pigments) and in the sediment (granulometric variables, organic carbon and pigments) were investigated in a coastal area with high land runoff due to riverine and temporary stream discharges (Greece, Aegean Sea, Maliakos Gulf). Samples were taken along a distance-depositional gradient from the river mouth to the open sea at eight stations, at times of different precipitation regime from August 2000 to May 2001. The physical variables, such as transparency and median grain size, generally increased seawards, and parallelled the depositional gradient as opposed to measures of food inputs and hydrodynamic regime. High environmental heterogeneity was observed during peak precipitation. The total number of species increased seawards and from August (122 species) to May (170 species). Maximum abundance also increased from August (4953 m−2) to May (10,220 individuals m−2), irrespective of distance from river mouth. Species belonging to different functional groups, as to recolonization, feeding, motility and substrate preferences, coexisted at all times indicating high functional diversity. Non-parametric multivariate regression showed that at times of low, rising and falling precipitation 78–81% of community variation was explained by environmental variables, indicating that macrofauna distribution and species composition respond to food inputs and sediment characteristics. During peak land runoff the community–environment relationship weakened (57% of the variability explained). The diversity of functional traits of the most abundant species indicates that the macrofauna community can absorb the impact of increased turbidity, sedimentation and current-driven dispersion. The study offers baseline information for the integrated coastal zone management in microtidal areas with high land runoff under Mediterranean-type climate conditions. During peak land runoff the community–environment relationship weakened (57% of the variability explained) whilst species distribution ranges increased. The study shows that the functional diversity in the study area prior to high discharge period enable macrofauna community to absorb the impact of increased turbidity, sedimentation and current-driven dispersion. The study offers baseline information for the impact of high land runoff in microtidal areas under Mediterranean-type climate conditions.","collection-title":"Estuarine and lagoon biodiversity and their natural goods and services","container-title":"Estuarine, Coastal and Shelf Science","DOI":"10.1016/j.ecss.2012.04.009","ISSN":"0272-7714","journalAbbreviation":"Estuarine, Coastal and Shelf Science","language":"en","page":"34-44","source":"ScienceDirect","title":"Environmental variation and macrofauna response in a coastal area influenced by land runoff","volume":"132","author":[{"family":"Akoumianaki","given":"Ioanna"},{"family":"Papaspyrou","given":"Sokratis"},{"family":"Kormas","given":"Konstantinos Ar."},{"family":"Nicolaidou","given":"Artemis"}],"issued":{"date-parts":[["2013",11,1]]}}},{"id":721,"uris":["http://zotero.org/users/6403124/items/8D3PRU4W"],"itemData":{"id":721,"type":"article-journal","abstract":"Macrofaunal density, biomass, and respiration size spectra, as well as density- and respiration-body size allometries, were investigated in a deltaic environment of the eastern Mediterranean (Maliakos Gulf, Greece). Four stations were sampled along a gradient of increasing depth and decreasing water transparency from the river mouth to the plume area in May, August, and November 2000, and February and May 2001. Density and biomass significantly decreased in winter and spring near the river mouth. The shape and peaks of size spectra were temporally variable, indicating that no single factor determines body size at all times. The slopes of the seasonally averaged normalized biomass size spectra gradually decreased from –0.47 at the river mouth to –1.03 in the plume area, clearly indicating a biomass increase with increasing body size towards the river mouth. A flat lower boundary in density/body size relationships at all stations precluded a strong negative regression slope and indicated that the density of small- and intermediate-sized macrofaunal organisms is constrained by perturbations. Regressions of calculated respiration rates against body size were close to 0.75 only at the river mouth during winter, thus indicating that increases in riverine sediment discharges during that period constrain the macrofaunal community. Overall, there was no evidence of energy supply constraints for macrofaunal body size in Maliakos Gulf. Irrespective of whether size spectra and body size allometries conform to global patterns or not, they proved to be sensitive and straightforward descriptors for understanding the macrofauna’s response to the deltaic environment.","container-title":"Marine Ecology Progress Series","DOI":"10.3354/meps321055","ISSN":"0171-8630, 1616-1599","journalAbbreviation":"Mar. Ecol. Prog. Ser.","language":"en","page":"55-66","source":"DOI.org (Crossref)","title":"Dynamics of macrofaunal body size in a deltaic environment","volume":"321","author":[{"family":"Akoumianaki","given":"I"},{"family":"Papaspyrou","given":"S"},{"family":"Nicolaidou","given":"A"}],"issued":{"date-parts":[["2006",9,8]]}}},{"id":1445,"uris":["http://zotero.org/users/6403124/items/NDP77PLJ"],"itemData":{"id":1445,"type":"article-journal","abstract":"Benthic communities in delta fronts are subject to burial risk because of high riverine sediment discharges and to substrate instability due to deposition of fine sediments at shallow depths. This study examines the spatial distribution of macroinfauna in the subaqueous deltaic depositions of a small river in the eastern Mediterranean (the Spercheios river, Maliakos Gulf, Aegean Sea) in relation to environmental variables in the water column and sediment. Samples were taken at eight stations in January, May, August and November 2000. From late winter to spring enhanced phytoplanktonic biomass, elevated suspended load and poorly sorted sediments showed a simultaneous influence of riverine discharges and hydrodynamics on the benthic system. In contrast, from summer to autumn oligotrophy in the water column and low hydrodynamic regime were observed. Total abundance, biomass and numbers of benthic species were positively correlated with distance from the river but negatively correlated with suspended inorganic particles and sediment skewness. Species from different functional groups, ranging from surface-living opportunists to burrowers and predators, coexisted at each station. However, suspension feeders were numerically suppressed near the river mouth. Non-parametric multivariate regressions showed that the variance in the species data was explained by environmental variables to a level ranging from 53 to 69%. This indicated a strong link between the macrofauna and the delta front environment. The variables used as measures of hydrodynamics and turbidity (i.e. sediment skewness and sorting, suspended material and transparency) displayed great explanatory power. The results of the present study show that the distribution of species is related to fluctuations in hydrodynamic regime that influence substrate characteristics. The study also demonstrates that sediment discharges of small temperate rivers can determine species composition in the delta front and have a detrimental impact on the community at short distances from river outflows.","container-title":"Journal of Sea Research","DOI":"10.1016/j.seares.2006.07.003","journalAbbreviation":"Journal of Sea Research","page":"47-64","source":"ResearchGate","title":"Spatial variability and dynamics of macrobenthos in a Mediterranean delta front area: The role of physical processes","title-short":"Spatial variability and dynamics of macrobenthos in a Mediterranean delta front area","volume":"57","author":[{"family":"Akoumianaki","given":"Ioanna"},{"family":"Nicolaidou","given":"Artemis"}],"issued":{"date-parts":[["2007",1,31]]}}}],"schema":"https://github.com/citation-style-language/schema/raw/master/csl-citation.json"} </w:instrText>
      </w:r>
      <w:r w:rsidR="00934839">
        <w:fldChar w:fldCharType="separate"/>
      </w:r>
      <w:r w:rsidR="00934839" w:rsidRPr="00934839">
        <w:rPr>
          <w:rFonts w:ascii="Calibri" w:hAnsi="Calibri" w:cs="Calibri"/>
        </w:rPr>
        <w:t>Akoumianaki et al., 2013, 2006; Akoumianaki and Nicolaidou, 2007</w:t>
      </w:r>
      <w:r w:rsidR="00934839">
        <w:fldChar w:fldCharType="end"/>
      </w:r>
      <w:r>
        <w:t>).</w:t>
      </w:r>
    </w:p>
    <w:p w14:paraId="0E437141" w14:textId="075DF402" w:rsidR="00952BC5" w:rsidRDefault="00952BC5" w:rsidP="00577380">
      <w:pPr>
        <w:pStyle w:val="a3"/>
        <w:numPr>
          <w:ilvl w:val="1"/>
          <w:numId w:val="2"/>
        </w:numPr>
      </w:pPr>
      <w:r>
        <w:t xml:space="preserve">Due to their small watersheds and steep topographies, SMRs stochastically export mass sediments into the ocean, </w:t>
      </w:r>
      <w:r w:rsidR="004C51C3">
        <w:t>plays and important role in global carbon cycling.</w:t>
      </w:r>
    </w:p>
    <w:p w14:paraId="3A66AB52" w14:textId="19EA8859" w:rsidR="004C51C3" w:rsidRDefault="004C51C3" w:rsidP="00577380">
      <w:pPr>
        <w:pStyle w:val="a3"/>
        <w:numPr>
          <w:ilvl w:val="1"/>
          <w:numId w:val="2"/>
        </w:numPr>
      </w:pPr>
      <w:commentRangeStart w:id="1"/>
      <w:r>
        <w:t>Furthermore, few studies have been conducted to link sediment ecosystem functioning and the marine benthos despite acknowledging their importance in sediment ecosystem functioning.</w:t>
      </w:r>
      <w:commentRangeEnd w:id="1"/>
      <w:r>
        <w:rPr>
          <w:rStyle w:val="a4"/>
        </w:rPr>
        <w:commentReference w:id="1"/>
      </w:r>
    </w:p>
    <w:p w14:paraId="4AD756F3" w14:textId="65A2E528" w:rsidR="00E0277E" w:rsidRDefault="00E0277E" w:rsidP="00577380">
      <w:pPr>
        <w:pStyle w:val="a3"/>
        <w:numPr>
          <w:ilvl w:val="1"/>
          <w:numId w:val="2"/>
        </w:numPr>
      </w:pPr>
      <w:r>
        <w:t xml:space="preserve">Climate change alters intensity and frequency of </w:t>
      </w:r>
      <w:r w:rsidR="00934839">
        <w:t xml:space="preserve">extreme weather </w:t>
      </w:r>
      <w:r>
        <w:t>events.</w:t>
      </w:r>
    </w:p>
    <w:p w14:paraId="7FEBA711" w14:textId="16E732B8" w:rsidR="00E0277E" w:rsidRDefault="00E0277E" w:rsidP="00577380">
      <w:pPr>
        <w:pStyle w:val="a3"/>
        <w:numPr>
          <w:ilvl w:val="1"/>
          <w:numId w:val="2"/>
        </w:numPr>
      </w:pPr>
      <w:r>
        <w:t>By expanding geographical coverage, increasing temporal resolution, and integrating ecosystem functioning measurements, resea</w:t>
      </w:r>
      <w:r w:rsidR="00934839">
        <w:t>r</w:t>
      </w:r>
      <w:r>
        <w:t xml:space="preserve">chers could better project </w:t>
      </w:r>
      <w:r>
        <w:rPr>
          <w:rFonts w:hint="eastAsia"/>
        </w:rPr>
        <w:t>e</w:t>
      </w:r>
      <w:r>
        <w:t>cological changes</w:t>
      </w:r>
      <w:r w:rsidR="00236575">
        <w:t xml:space="preserve"> and the associated ecosystem response</w:t>
      </w:r>
      <w:r>
        <w:t xml:space="preserve"> </w:t>
      </w:r>
      <w:r w:rsidR="00236575">
        <w:t xml:space="preserve">in </w:t>
      </w:r>
      <w:r>
        <w:t>future climate scenarios.</w:t>
      </w:r>
    </w:p>
    <w:p w14:paraId="7F1D62B3" w14:textId="39EB5A4B" w:rsidR="0067188B" w:rsidRDefault="00952BC5" w:rsidP="00577380">
      <w:pPr>
        <w:pStyle w:val="a3"/>
        <w:numPr>
          <w:ilvl w:val="0"/>
          <w:numId w:val="2"/>
        </w:numPr>
      </w:pPr>
      <w:r w:rsidRPr="00952BC5">
        <w:t>Study area</w:t>
      </w:r>
      <w:r w:rsidR="00BC5A6A">
        <w:t xml:space="preserve"> (extract thesis text)</w:t>
      </w:r>
    </w:p>
    <w:p w14:paraId="51CA3832" w14:textId="6E092F16" w:rsidR="00A11B2E" w:rsidRDefault="00A11B2E" w:rsidP="00577380">
      <w:pPr>
        <w:pStyle w:val="a3"/>
        <w:numPr>
          <w:ilvl w:val="1"/>
          <w:numId w:val="2"/>
        </w:numPr>
      </w:pPr>
      <w:r>
        <w:t>Geographical location and geological origin of the Gaoping Continental Shelf.</w:t>
      </w:r>
    </w:p>
    <w:p w14:paraId="19ED0336" w14:textId="0A868697" w:rsidR="00E0277E" w:rsidRDefault="00A11B2E" w:rsidP="00577380">
      <w:pPr>
        <w:pStyle w:val="a3"/>
        <w:numPr>
          <w:ilvl w:val="1"/>
          <w:numId w:val="2"/>
        </w:numPr>
      </w:pPr>
      <w:r>
        <w:t>Basic information of the Gaoping River.</w:t>
      </w:r>
    </w:p>
    <w:p w14:paraId="65E60A92" w14:textId="259FC389" w:rsidR="00BC5A6A" w:rsidRPr="00A71AEF" w:rsidRDefault="00BC5A6A" w:rsidP="00577380">
      <w:pPr>
        <w:pStyle w:val="a3"/>
        <w:numPr>
          <w:ilvl w:val="1"/>
          <w:numId w:val="2"/>
        </w:numPr>
      </w:pPr>
      <w:r>
        <w:t>Climate conditions, dry and wet seasons (monsoon).</w:t>
      </w:r>
    </w:p>
    <w:p w14:paraId="192F9F53" w14:textId="5C77FE33" w:rsidR="00A11B2E" w:rsidRDefault="00A11B2E" w:rsidP="00577380">
      <w:pPr>
        <w:pStyle w:val="a3"/>
        <w:numPr>
          <w:ilvl w:val="1"/>
          <w:numId w:val="2"/>
        </w:numPr>
      </w:pPr>
      <w:r>
        <w:t>Sediment discharge patterns of the Gaoping River (annual load).</w:t>
      </w:r>
    </w:p>
    <w:p w14:paraId="025FDFCB" w14:textId="2D224F30" w:rsidR="00A11B2E" w:rsidRDefault="00A11B2E" w:rsidP="00577380">
      <w:pPr>
        <w:pStyle w:val="a3"/>
        <w:numPr>
          <w:ilvl w:val="1"/>
          <w:numId w:val="2"/>
        </w:numPr>
      </w:pPr>
      <w:r>
        <w:t>Roles of extreme events, namely typhoons and earthquakes.</w:t>
      </w:r>
    </w:p>
    <w:p w14:paraId="5406FCBE" w14:textId="50F7EFD8" w:rsidR="00F239EB" w:rsidRDefault="00D479FB" w:rsidP="00577380">
      <w:pPr>
        <w:pStyle w:val="a3"/>
        <w:numPr>
          <w:ilvl w:val="1"/>
          <w:numId w:val="2"/>
        </w:numPr>
      </w:pPr>
      <w:r>
        <w:t>Source and fate of organic matter in this system.</w:t>
      </w:r>
    </w:p>
    <w:p w14:paraId="3E5EEC9F" w14:textId="02E85609" w:rsidR="00952BC5" w:rsidRDefault="00952BC5" w:rsidP="00577380">
      <w:pPr>
        <w:pStyle w:val="a3"/>
        <w:numPr>
          <w:ilvl w:val="0"/>
          <w:numId w:val="2"/>
        </w:numPr>
      </w:pPr>
      <w:r>
        <w:lastRenderedPageBreak/>
        <w:t>Study objective</w:t>
      </w:r>
    </w:p>
    <w:p w14:paraId="26394EF1" w14:textId="45B1884A" w:rsidR="004C51C3" w:rsidRDefault="004C51C3" w:rsidP="00577380">
      <w:pPr>
        <w:pStyle w:val="a3"/>
        <w:numPr>
          <w:ilvl w:val="1"/>
          <w:numId w:val="2"/>
        </w:numPr>
      </w:pPr>
      <w:r>
        <w:t>The objective of this study is to document</w:t>
      </w:r>
      <w:r w:rsidR="00E0277E">
        <w:t xml:space="preserve"> the spatiotemporal variations of the macrofauna </w:t>
      </w:r>
      <w:r w:rsidR="008F0CE4">
        <w:t xml:space="preserve">standing stock, </w:t>
      </w:r>
      <w:r w:rsidR="00E0277E">
        <w:t>communit</w:t>
      </w:r>
      <w:r w:rsidR="008F0CE4">
        <w:t>y assemblage,</w:t>
      </w:r>
      <w:r w:rsidR="00E0277E">
        <w:t xml:space="preserve"> and the associated sediment oxygen dynamics.</w:t>
      </w:r>
    </w:p>
    <w:p w14:paraId="4CD3C9C8" w14:textId="2AC111C6" w:rsidR="00E0277E" w:rsidRDefault="00E0277E" w:rsidP="00577380">
      <w:pPr>
        <w:pStyle w:val="a3"/>
        <w:numPr>
          <w:ilvl w:val="1"/>
          <w:numId w:val="2"/>
        </w:numPr>
      </w:pPr>
      <w:r>
        <w:t>Specifically, we are interested in the spatiotemporal changes of macrofaunal abundance, biomass</w:t>
      </w:r>
      <w:r w:rsidR="00F239EB">
        <w:t>, composition</w:t>
      </w:r>
      <w:r>
        <w:t>, and the sediment community oxygen consumption (SCOC)</w:t>
      </w:r>
      <w:r w:rsidR="00F239EB">
        <w:t>.</w:t>
      </w:r>
    </w:p>
    <w:p w14:paraId="4BD39B3E" w14:textId="0FD3C6EF" w:rsidR="00F239EB" w:rsidRPr="00952BC5" w:rsidRDefault="00F239EB" w:rsidP="00577380">
      <w:pPr>
        <w:pStyle w:val="a3"/>
        <w:numPr>
          <w:ilvl w:val="1"/>
          <w:numId w:val="2"/>
        </w:numPr>
      </w:pPr>
      <w:r>
        <w:t>We further identified environmental drivers that shaped those features of the soft sediment ecosystem.</w:t>
      </w:r>
    </w:p>
    <w:p w14:paraId="659B90A3" w14:textId="296B8305" w:rsidR="0037699D" w:rsidRDefault="0037699D" w:rsidP="00F45185">
      <w:pPr>
        <w:pStyle w:val="Title1"/>
      </w:pPr>
      <w:r>
        <w:rPr>
          <w:rFonts w:hint="eastAsia"/>
        </w:rPr>
        <w:t>Ma</w:t>
      </w:r>
      <w:r>
        <w:t xml:space="preserve">terial and </w:t>
      </w:r>
      <w:r w:rsidRPr="004E22B6">
        <w:t>methods</w:t>
      </w:r>
    </w:p>
    <w:p w14:paraId="33C1EC1C" w14:textId="4BBC15E0" w:rsidR="005B0207" w:rsidRDefault="005B0207" w:rsidP="00577380">
      <w:pPr>
        <w:pStyle w:val="Title2"/>
      </w:pPr>
      <w:r>
        <w:t>Shipboard sampling</w:t>
      </w:r>
    </w:p>
    <w:p w14:paraId="09A010A3" w14:textId="6CE518BF" w:rsidR="005B0207" w:rsidRPr="00577380" w:rsidRDefault="005B0207" w:rsidP="00577380">
      <w:r w:rsidRPr="00577380">
        <w:t>Two cruises were conducted to collect biological and geochemical data in the Gaoping Continental Shelf</w:t>
      </w:r>
      <w:r w:rsidR="00EF64E8" w:rsidRPr="00577380">
        <w:t xml:space="preserve"> (GS)</w:t>
      </w:r>
      <w:r w:rsidR="00473AE6">
        <w:t xml:space="preserve"> (</w:t>
      </w:r>
      <w:r w:rsidR="00473AE6" w:rsidRPr="00473AE6">
        <w:rPr>
          <w:color w:val="FF0000"/>
        </w:rPr>
        <w:t>figure 1</w:t>
      </w:r>
      <w:r w:rsidR="00473AE6">
        <w:t>)</w:t>
      </w:r>
      <w:r w:rsidRPr="00577380">
        <w:t>.</w:t>
      </w:r>
      <w:r w:rsidR="00EF64E8" w:rsidRPr="00577380">
        <w:t xml:space="preserve"> The </w:t>
      </w:r>
      <w:r w:rsidR="00473AE6">
        <w:t>c</w:t>
      </w:r>
      <w:r w:rsidR="00EF64E8" w:rsidRPr="00577380">
        <w:t>ruise</w:t>
      </w:r>
      <w:r w:rsidR="00473AE6">
        <w:t>s</w:t>
      </w:r>
      <w:r w:rsidR="00EF64E8" w:rsidRPr="00577380">
        <w:t xml:space="preserve"> OR1-1219 and OR1-1242 were conducted in March and October 2019, respectively.</w:t>
      </w:r>
      <w:r w:rsidR="00473AE6">
        <w:t xml:space="preserve"> S4 was only visited in OR1-1219, while S1 and S2 were visited in OR1-1242</w:t>
      </w:r>
      <w:r w:rsidR="00EF64E8" w:rsidRPr="00577380">
        <w:t>.</w:t>
      </w:r>
      <w:r w:rsidR="00473AE6">
        <w:t xml:space="preserve"> The rest of the f</w:t>
      </w:r>
      <w:r w:rsidR="00473AE6" w:rsidRPr="00577380">
        <w:t>our stations, namely S3, S5, S6, and S7, were revisited</w:t>
      </w:r>
      <w:r w:rsidR="00473AE6">
        <w:t xml:space="preserve"> during the two cruises.</w:t>
      </w:r>
    </w:p>
    <w:p w14:paraId="688C29F8" w14:textId="7A839AD7" w:rsidR="00855FAA" w:rsidRDefault="00FA4F55" w:rsidP="00577380">
      <w:r w:rsidRPr="00577380">
        <w:t xml:space="preserve">Between the two cruises, one typhoon, namely Typhoon Bailu made landfall in Taiwan on </w:t>
      </w:r>
      <w:r w:rsidR="0037566E">
        <w:t xml:space="preserve">1 p.m. at </w:t>
      </w:r>
      <w:r w:rsidRPr="00577380">
        <w:t xml:space="preserve">August 24th and caused extreme precipitation in southeast and southwest Taiwan </w:t>
      </w:r>
      <w:r w:rsidRPr="00577380">
        <w:fldChar w:fldCharType="begin"/>
      </w:r>
      <w:r w:rsidRPr="00577380">
        <w:instrText xml:space="preserve"> ADDIN ZOTERO_ITEM CSL_CITATION {"citationID":"ATZphJaB","properties":{"formattedCitation":"(Lin et al., 2020)","plainCitation":"(Lin et al., 2020)","noteIndex":0},"citationItems":[{"id":5531,"uris":["http://zotero.org/users/6403124/items/R6ZJVNNC"],"itemData":{"id":5531,"type":"document","abstract":"There are four major typhoon events occurred in 2019, including\ntyphoon DANAS, LEKIMA, BAILU and MITAG typhoon events. With \ndisaster records and information collected and aggregated from various \ngovernment agencies, we provided detailed weather information, rainfall, \nlandslide and flooding records, agricultural losses and some results of field \nsurvey. Typhoon BAILU is the most serious event in 2019. It affected \nTaiwan from 23 Aug to 25 Aug, and made landfall in Manzhou Township, \nPingtung County. Typhoon BAILU resulted in massive landslides and \nflooding events in the central and southern Taiwan. The total amount of \nagricultural losses of typhoon BAILU is around 175 million. In summary, \nthe total agricultural losses of the four typhoon events reached 196 million.","language":"Chinese","publisher":"National Science and Technology Center for Disaster Reduction","title":"2019 Typhoon events","URL":"http://www.ncdr.nat.gov.tw","author":[{"family":"Lin","given":"Yu-Ching"},{"family":"Su","given":"Yuan-Feng"},{"family":"Fu","given":"Hui-Hsuan"},{"family":"Wang","given":"Yu-Ting"},{"family":"Shih","given":"Hung-Ju"},{"family":"Liang","given":"Ting-Yu"},{"family":"Yeh","given":"Sen-Hai"},{"family":"Chen","given":"Wei-Po"},{"family":"Chang","given":"Chih-Hsin"}],"issued":{"date-parts":[["2020",1]]}}}],"schema":"https://github.com/citation-style-language/schema/raw/master/csl-citation.json"} </w:instrText>
      </w:r>
      <w:r w:rsidRPr="00577380">
        <w:fldChar w:fldCharType="separate"/>
      </w:r>
      <w:r w:rsidRPr="00577380">
        <w:t>(Lin et al., 2020)</w:t>
      </w:r>
      <w:r w:rsidRPr="00577380">
        <w:fldChar w:fldCharType="end"/>
      </w:r>
      <w:r w:rsidRPr="00577380">
        <w:t>. T</w:t>
      </w:r>
      <w:r w:rsidR="00067757">
        <w:t xml:space="preserve">he extreme precipitation </w:t>
      </w:r>
      <w:r w:rsidRPr="00577380">
        <w:t xml:space="preserve">Bailu </w:t>
      </w:r>
      <w:r w:rsidR="00067757">
        <w:t xml:space="preserve">had brought </w:t>
      </w:r>
      <w:r w:rsidRPr="00577380">
        <w:t>caused floods and landslides</w:t>
      </w:r>
      <w:r w:rsidR="00346C19">
        <w:t xml:space="preserve"> across counties in southern Taiwan</w:t>
      </w:r>
      <w:r w:rsidR="00CF261F" w:rsidRPr="00577380">
        <w:t xml:space="preserve">. </w:t>
      </w:r>
      <w:r w:rsidR="00346C19">
        <w:t xml:space="preserve">Bailu </w:t>
      </w:r>
      <w:r w:rsidR="00CF261F" w:rsidRPr="00577380">
        <w:t>also damaged harbors</w:t>
      </w:r>
      <w:r w:rsidR="00346C19">
        <w:t>, caused death and injuries,</w:t>
      </w:r>
      <w:r w:rsidR="00CF261F" w:rsidRPr="00577380">
        <w:t xml:space="preserve"> and caused </w:t>
      </w:r>
      <w:r w:rsidR="00745EA6">
        <w:t xml:space="preserve">agricultural production loss around </w:t>
      </w:r>
      <w:r w:rsidR="00CF261F" w:rsidRPr="00577380">
        <w:t xml:space="preserve">170 million NTD </w:t>
      </w:r>
      <w:r w:rsidR="00CF261F" w:rsidRPr="00577380">
        <w:fldChar w:fldCharType="begin"/>
      </w:r>
      <w:r w:rsidR="00CF261F" w:rsidRPr="00577380">
        <w:instrText xml:space="preserve"> ADDIN ZOTERO_ITEM CSL_CITATION {"citationID":"xFM2R9Xr","properties":{"formattedCitation":"(Lin et al., 2020)","plainCitation":"(Lin et al., 2020)","noteIndex":0},"citationItems":[{"id":5531,"uris":["http://zotero.org/users/6403124/items/R6ZJVNNC"],"itemData":{"id":5531,"type":"document","abstract":"There are four major typhoon events occurred in 2019, including\ntyphoon DANAS, LEKIMA, BAILU and MITAG typhoon events. With \ndisaster records and information collected and aggregated from various \ngovernment agencies, we provided detailed weather information, rainfall, \nlandslide and flooding records, agricultural losses and some results of field \nsurvey. Typhoon BAILU is the most serious event in 2019. It affected \nTaiwan from 23 Aug to 25 Aug, and made landfall in Manzhou Township, \nPingtung County. Typhoon BAILU resulted in massive landslides and \nflooding events in the central and southern Taiwan. The total amount of \nagricultural losses of typhoon BAILU is around 175 million. In summary, \nthe total agricultural losses of the four typhoon events reached 196 million.","language":"Chinese","publisher":"National Science and Technology Center for Disaster Reduction","title":"2019 Typhoon events","URL":"http://www.ncdr.nat.gov.tw","author":[{"family":"Lin","given":"Yu-Ching"},{"family":"Su","given":"Yuan-Feng"},{"family":"Fu","given":"Hui-Hsuan"},{"family":"Wang","given":"Yu-Ting"},{"family":"Shih","given":"Hung-Ju"},{"family":"Liang","given":"Ting-Yu"},{"family":"Yeh","given":"Sen-Hai"},{"family":"Chen","given":"Wei-Po"},{"family":"Chang","given":"Chih-Hsin"}],"issued":{"date-parts":[["2020",1]]}}}],"schema":"https://github.com/citation-style-language/schema/raw/master/csl-citation.json"} </w:instrText>
      </w:r>
      <w:r w:rsidR="00CF261F" w:rsidRPr="00577380">
        <w:fldChar w:fldCharType="separate"/>
      </w:r>
      <w:r w:rsidR="00CF261F" w:rsidRPr="00577380">
        <w:t>(Lin et al., 2020)</w:t>
      </w:r>
      <w:r w:rsidR="00CF261F" w:rsidRPr="00577380">
        <w:fldChar w:fldCharType="end"/>
      </w:r>
      <w:r w:rsidR="00CF261F" w:rsidRPr="00577380">
        <w:t>. Despit</w:t>
      </w:r>
      <w:r w:rsidR="00226EA8">
        <w:t>e the immense damage Bailu had caused</w:t>
      </w:r>
      <w:r w:rsidR="00CF261F" w:rsidRPr="00577380">
        <w:t xml:space="preserve">, </w:t>
      </w:r>
      <w:r w:rsidR="00226EA8">
        <w:t>the t</w:t>
      </w:r>
      <w:r w:rsidR="00CF261F" w:rsidRPr="00577380">
        <w:t>yphoon provided a rare opportunity to examine the response of the benthic communities to extreme weather events.</w:t>
      </w:r>
    </w:p>
    <w:p w14:paraId="536DCB10" w14:textId="374E252B" w:rsidR="00D2663C" w:rsidRDefault="00D2663C" w:rsidP="00577380">
      <w:r>
        <w:lastRenderedPageBreak/>
        <w:t>In each station, Conductivity-Temperature-Depth (CTD) sensors were deployed to collect the profiles of salinity, temperature, water transmission, fluorescence, and dissolved oxygen from the surface water to 5 m above the seafloor. The rosette bottles on the CTD also collected bottom water for sediment incubation. Multi-corers were deployed to collected. Two core</w:t>
      </w:r>
      <w:r w:rsidR="00F47211">
        <w:t xml:space="preserve"> tubes were sectioned into 1-cm slices from top to bottom. Each sediment slice was then portioned for analyzing </w:t>
      </w:r>
      <w:r>
        <w:t xml:space="preserve">geochemical </w:t>
      </w:r>
      <w:r w:rsidR="00F47211">
        <w:t xml:space="preserve">signatures, such as sediment grain size, sediment porosity, and other bulk sediment compounds. Another three core tubes were chosen by their sediment length and better integrity for shipboard incubation </w:t>
      </w:r>
      <w:r w:rsidR="000E0BFC">
        <w:fldChar w:fldCharType="begin"/>
      </w:r>
      <w:r w:rsidR="002A0FE5">
        <w:instrText xml:space="preserve"> ADDIN ZOTERO_ITEM CSL_CITATION {"citationID":"FY9F7zlV","properties":{"formattedCitation":"(Glud, 2008)","plainCitation":"(Glud, 2008)","noteIndex":0},"citationItems":[{"id":251,"uris":["http://zotero.org/users/6403124/items/RR72J6SR"],"itemData":{"id":251,"type":"article-journal","abstract":"Benthic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sediments","volume":"4","author":[{"family":"Glud","given":"Ronnie N."}],"issued":{"date-parts":[["2008",8]]}}}],"schema":"https://github.com/citation-style-language/schema/raw/master/csl-citation.json"} </w:instrText>
      </w:r>
      <w:r w:rsidR="000E0BFC">
        <w:fldChar w:fldCharType="separate"/>
      </w:r>
      <w:r w:rsidR="002A0FE5" w:rsidRPr="002A0FE5">
        <w:rPr>
          <w:rFonts w:ascii="Calibri" w:hAnsi="Calibri" w:cs="Calibri"/>
        </w:rPr>
        <w:t>(Glud, 2008)</w:t>
      </w:r>
      <w:r w:rsidR="000E0BFC">
        <w:fldChar w:fldCharType="end"/>
      </w:r>
      <w:r w:rsidR="00F47211">
        <w:t>.</w:t>
      </w:r>
    </w:p>
    <w:p w14:paraId="5BA6968D" w14:textId="7FDFC914" w:rsidR="00AF6DA0" w:rsidRDefault="006D4CC7" w:rsidP="00577380">
      <w:r>
        <w:t>The three s</w:t>
      </w:r>
      <w:r>
        <w:rPr>
          <w:rFonts w:hint="eastAsia"/>
        </w:rPr>
        <w:t>e</w:t>
      </w:r>
      <w:r>
        <w:t>diment cores were incubated in a temperature-control</w:t>
      </w:r>
      <w:r w:rsidR="00B26E32">
        <w:t>l</w:t>
      </w:r>
      <w:r>
        <w:t xml:space="preserve">ed water bath under dark condition to measure the </w:t>
      </w:r>
      <w:r w:rsidR="00E650B8">
        <w:t xml:space="preserve">total oxygen utilization (TOU) of the </w:t>
      </w:r>
      <w:r>
        <w:t>sediment. The water bath temperature was set to be within the range of the bottom water temperatures measured with CTD.</w:t>
      </w:r>
      <w:r w:rsidR="00CF1BFB">
        <w:t xml:space="preserve"> Each sediment core was sealed by a plastic lid with a magnetic stir bar attached inside. After removing the air bubbles in the overlying water, </w:t>
      </w:r>
      <w:r w:rsidR="0043219A">
        <w:rPr>
          <w:rFonts w:hint="eastAsia"/>
        </w:rPr>
        <w:t>a</w:t>
      </w:r>
      <w:r w:rsidR="0043219A">
        <w:t xml:space="preserve">nother magnetic stir bar attached to a motor was placed above the plastic lid, coupling to the stir bar underneath. Both motor and magnet bars rotated and stirred the overlying water at 60 rpm to prevent water stratification. Four every 4 to 6 hours, we used a miniature oxygen optode (PreSens PSt7) to measure oxygen concentration through a small resealable sampling port and a temperature sensor (PreSens Pt100) for the water bath temperature. The oxygen optode was calibrated for each cruise by scanning the product-specific barcode. We used PreSens Microx 4 data logger to record the dissolved oxygen and temperature until the oxygen levels dropped below 85% of the initial concentration </w:t>
      </w:r>
      <w:r w:rsidR="0043219A">
        <w:fldChar w:fldCharType="begin"/>
      </w:r>
      <w:r w:rsidR="0043219A">
        <w:instrText xml:space="preserve"> ADDIN ZOTERO_ITEM CSL_CITATION {"citationID":"0FMBwval","properties":{"formattedCitation":"(Glud, 2008)","plainCitation":"(Glud, 2008)","noteIndex":0},"citationItems":[{"id":251,"uris":["http://zotero.org/users/6403124/items/RR72J6SR"],"itemData":{"id":251,"type":"article-journal","abstract":"Benthic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sediments","volume":"4","author":[{"family":"Glud","given":"Ronnie N."}],"issued":{"date-parts":[["2008",8]]}}}],"schema":"https://github.com/citation-style-language/schema/raw/master/csl-citation.json"} </w:instrText>
      </w:r>
      <w:r w:rsidR="0043219A">
        <w:fldChar w:fldCharType="separate"/>
      </w:r>
      <w:r w:rsidR="0043219A" w:rsidRPr="0043219A">
        <w:rPr>
          <w:rFonts w:ascii="Calibri" w:hAnsi="Calibri" w:cs="Calibri"/>
        </w:rPr>
        <w:t>(Glud, 2008)</w:t>
      </w:r>
      <w:r w:rsidR="0043219A">
        <w:fldChar w:fldCharType="end"/>
      </w:r>
      <w:r w:rsidR="0043219A">
        <w:t>.</w:t>
      </w:r>
      <w:r w:rsidR="00C613C8">
        <w:t xml:space="preserve"> </w:t>
      </w:r>
      <w:r w:rsidR="005A6D9A">
        <w:t xml:space="preserve">We then used the following equation to estimate TOU </w:t>
      </w:r>
      <w:r w:rsidR="005A6D9A">
        <w:fldChar w:fldCharType="begin"/>
      </w:r>
      <w:r w:rsidR="005A6D9A">
        <w:instrText xml:space="preserve"> ADDIN ZOTERO_ITEM CSL_CITATION {"citationID":"XykO8AYQ","properties":{"formattedCitation":"(Song et al., 2016)","plainCitation":"(Song et al., 2016)","noteIndex":0},"citationItems":[{"id":1585,"uris":["http://zotero.org/users/6403124/items/VR2F9NY6"],"itemData":{"id":1585,"type":"article-journal","abstract":"Sediment oxygen consumption (SOC) rates on the shelves of the East China Sea (ECS) and the Yellow Sea (YS) were measured during ﬁve ﬁeld studies in the period April 2010 to May 2011, using the batch intact core incubation technique. The measured SOC rates ranged from 1.73 to 17.56 mmol O2 mÀ2 dÀ1, which are comparable to values reported for other typical continental shelves worldwide. For the shelves of both the ECS and the YS there was a remarkable spatial and temporal variation in SOC rates. SOC was used as a proxy to assess the benthic organic carbon mineralization in the ECS and the YS, and to prepare simple organic carbon budget. For the YS it was found that on average approximately 90% of the organic carbon derived from primary productivity was decomposed in the water column and 8% was decomposed in the sediment, resulting in o 4% being permanently buried in the YS sediment. In contrast, approximately 70% of the organic carbon derived from primary productivity was decomposed in the water column in the ECS and 17% was decomposed in the sediment, suggesting that the permanently buried percentage (14%, relative to the primary productivity) was higher in the ECS. The contrasting contributions of benthic mineralization to the organic carbon cycle in the ECS and the YS indicated that there is tight coupling between pelagic and benthic biogeochemical processes in the ECS, but in the YS, the regenerated production and external non-marine nutrients regulated pelagic primary production.","container-title":"Deep Sea Research Part II: Topical Studies in Oceanography","DOI":"10.1016/j.dsr2.2015.04.012","ISSN":"09670645","journalAbbreviation":"Deep Sea Research Part II: Topical Studies in Oceanography","language":"en","page":"53-63","source":"DOI.org (Crossref)","title":"Sediment oxygen consumption and benthic organic carbon mineralization on the continental shelves of the East China Sea and the Yellow Sea","volume":"124","author":[{"family":"Song","given":"Guodong"},{"family":"Liu","given":"Sumei"},{"family":"Zhu","given":"Zhuoyi"},{"family":"Zhai","given":"Weidong"},{"family":"Zhu","given":"Chenjian"},{"family":"Zhang","given":"Jing"}],"issued":{"date-parts":[["2016",2]]}}}],"schema":"https://github.com/citation-style-language/schema/raw/master/csl-citation.json"} </w:instrText>
      </w:r>
      <w:r w:rsidR="005A6D9A">
        <w:fldChar w:fldCharType="separate"/>
      </w:r>
      <w:r w:rsidR="005A6D9A" w:rsidRPr="005A6D9A">
        <w:rPr>
          <w:rFonts w:ascii="Calibri" w:hAnsi="Calibri" w:cs="Calibri"/>
        </w:rPr>
        <w:t>(Song et al., 2016)</w:t>
      </w:r>
      <w:r w:rsidR="005A6D9A">
        <w:fldChar w:fldCharType="end"/>
      </w:r>
      <w:r w:rsidR="005A6D9A">
        <w:t xml:space="preserve">: </w:t>
      </w:r>
    </w:p>
    <w:p w14:paraId="2F308FD4" w14:textId="77777777" w:rsidR="00AF6DA0" w:rsidRDefault="00AF6DA0" w:rsidP="00AF6DA0">
      <w:pPr>
        <w:jc w:val="center"/>
      </w:pPr>
      <m:oMath>
        <m:r>
          <w:rPr>
            <w:rFonts w:ascii="Cambria Math" w:hAnsi="Cambria Math"/>
          </w:rPr>
          <w:lastRenderedPageBreak/>
          <m:t>TOU=m</m:t>
        </m:r>
        <m:r>
          <m:rPr>
            <m:sty m:val="p"/>
          </m:rPr>
          <w:rPr>
            <w:rFonts w:ascii="Cambria Math" w:hAnsi="Cambria Math"/>
          </w:rPr>
          <m:t>×</m:t>
        </m:r>
        <m:r>
          <w:rPr>
            <w:rFonts w:ascii="Cambria Math" w:hAnsi="Cambria Math"/>
          </w:rPr>
          <m:t>V</m:t>
        </m:r>
        <m:r>
          <m:rPr>
            <m:lit/>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24</m:t>
        </m:r>
        <m:r>
          <m:rPr>
            <m:lit/>
          </m:rPr>
          <w:rPr>
            <w:rFonts w:ascii="Cambria Math" w:hAnsi="Cambria Math"/>
          </w:rPr>
          <m:t>/</m:t>
        </m:r>
        <m:r>
          <w:rPr>
            <w:rFonts w:ascii="Cambria Math" w:hAnsi="Cambria Math"/>
          </w:rPr>
          <m:t>1000</m:t>
        </m:r>
      </m:oMath>
      <w:r w:rsidR="005A6D9A">
        <w:t>,</w:t>
      </w:r>
    </w:p>
    <w:p w14:paraId="4BF4AD2D" w14:textId="0BF2728B" w:rsidR="006D4CC7" w:rsidRDefault="005A6D9A" w:rsidP="00577380">
      <w:r>
        <w:t xml:space="preserve"> where m is the regression slope, V is water volume, A is </w:t>
      </w:r>
      <w:r w:rsidR="00AF6DA0">
        <w:t xml:space="preserve">sediment </w:t>
      </w:r>
      <w:r>
        <w:t xml:space="preserve">area, </w:t>
      </w:r>
      <w:r w:rsidR="00AF6DA0">
        <w:t xml:space="preserve">and </w:t>
      </w:r>
      <w:r>
        <w:t xml:space="preserve">24/1000 </w:t>
      </w:r>
      <w:r w:rsidR="00AF6DA0">
        <w:t xml:space="preserve">is a constant that </w:t>
      </w:r>
      <w:r>
        <w:t xml:space="preserve">adjusts </w:t>
      </w:r>
      <w:r w:rsidR="00AF6DA0">
        <w:t xml:space="preserve">TOU’s </w:t>
      </w:r>
      <w:r>
        <w:t>unit to mmol m</w:t>
      </w:r>
      <w:r w:rsidRPr="005A6D9A">
        <w:rPr>
          <w:vertAlign w:val="superscript"/>
        </w:rPr>
        <w:t>-</w:t>
      </w:r>
      <w:r>
        <w:rPr>
          <w:vertAlign w:val="superscript"/>
        </w:rPr>
        <w:t xml:space="preserve">2 </w:t>
      </w:r>
      <w:r>
        <w:t>d</w:t>
      </w:r>
      <w:r w:rsidRPr="005A6D9A">
        <w:rPr>
          <w:vertAlign w:val="superscript"/>
        </w:rPr>
        <w:t>-1</w:t>
      </w:r>
      <w:r>
        <w:t xml:space="preserve">. </w:t>
      </w:r>
    </w:p>
    <w:p w14:paraId="35306332" w14:textId="77777777" w:rsidR="00792C26" w:rsidRDefault="0043219A" w:rsidP="00577380">
      <w:r>
        <w:t xml:space="preserve">After incubation, a pair of Unisense oxygen microelectrodes and temperature sensors were calibrated by endpoint methods every 24 hours </w:t>
      </w:r>
      <w:r>
        <w:fldChar w:fldCharType="begin"/>
      </w:r>
      <w:r>
        <w:instrText xml:space="preserve"> ADDIN ZOTERO_ITEM CSL_CITATION {"citationID":"rSZtA7CF","properties":{"formattedCitation":"(Unisense A/S, 2020)","plainCitation":"(Unisense A/S, 2020)","noteIndex":0},"citationItems":[{"id":1499,"uris":["http://zotero.org/users/6403124/items/2QH96T7G"],"itemData":{"id":1499,"type":"document","language":"English","publisher":"Unisense","title":"Oxygen sensor user manual","URL":"www.unisense.com","author":[{"family":"Unisense A/S","given":""}],"issued":{"date-parts":[["2020"]]}}}],"schema":"https://github.com/citation-style-language/schema/raw/master/csl-citation.json"} </w:instrText>
      </w:r>
      <w:r>
        <w:fldChar w:fldCharType="separate"/>
      </w:r>
      <w:r w:rsidRPr="0043219A">
        <w:rPr>
          <w:rFonts w:ascii="Calibri" w:hAnsi="Calibri" w:cs="Calibri"/>
        </w:rPr>
        <w:t>(Unisense A/S, 2020)</w:t>
      </w:r>
      <w:r>
        <w:fldChar w:fldCharType="end"/>
      </w:r>
      <w:r>
        <w:t xml:space="preserve"> and lowered into the sediment by a step motor to measure oxygen concentration profiles. The oxygen saturation endpoint was made by air-pumping the seawater with known salinity and temperature for at least 10 minutes. The oxygen depletion endpoint was made by adding sodium dithionite (Na</w:t>
      </w:r>
      <w:r w:rsidRPr="0043219A">
        <w:rPr>
          <w:vertAlign w:val="subscript"/>
        </w:rPr>
        <w:t>2</w:t>
      </w:r>
      <w:r>
        <w:t>S</w:t>
      </w:r>
      <w:r w:rsidRPr="0043219A">
        <w:rPr>
          <w:vertAlign w:val="subscript"/>
        </w:rPr>
        <w:t>2</w:t>
      </w:r>
      <w:r>
        <w:t>O</w:t>
      </w:r>
      <w:r w:rsidRPr="0043219A">
        <w:rPr>
          <w:vertAlign w:val="subscript"/>
        </w:rPr>
        <w:t>4</w:t>
      </w:r>
      <w:r>
        <w:t xml:space="preserve">), a strong reducing agent, into the seawater with known volume, salinity, and temperature. </w:t>
      </w:r>
      <w:r w:rsidR="00A04402">
        <w:t>Sediment oxygen concentration profiling started from roughly 1 cm above the sediment surface, with the step motor moving downward for 100 um per step until the oxygen readings of both the microelectrodes reached zero. At each step, the microelectrodes stopped for 3 seconds to stabilized themselves before taking measurements. According to Fick’s Law of Diffusion, we used the oxygen concentration profiles compensated by temperature, salinity, and sediment porosity to estimate dissolved oxygen utilization (DOU).</w:t>
      </w:r>
      <w:r w:rsidR="005A6D9A">
        <w:t xml:space="preserve"> The sediment oxygen concentration profiles were converted to the diffusive oxygen utilization (DOU) using Unisense Sensor Trace Suite software </w:t>
      </w:r>
      <w:r w:rsidR="005A6D9A">
        <w:fldChar w:fldCharType="begin"/>
      </w:r>
      <w:r w:rsidR="005A6D9A">
        <w:instrText xml:space="preserve"> ADDIN ZOTERO_ITEM CSL_CITATION {"citationID":"rI9ewN3u","properties":{"formattedCitation":"(Berg et al., 1998)","plainCitation":"(Berg et al., 1998)","noteIndex":0},"citationItems":[{"id":1587,"uris":["http://zotero.org/users/6403124/items/A7GGCSW8"],"itemData":{"id":1587,"type":"article-journal","abstract":"A robust numerical procedure for biogeochemical interpretation and analysis of measured concentration profiles of solutes in sediment pore water has been developed. Assuming that the concentration-depth profile represents a steady state, the rate of net production or consumption as a function of depth can be calculated, together with the flux across the sediment-water interface. Three kinds of vertical transport can be included in the analysis: molecular diffusion, bioturbation, and irrigation. The procedure involves finding a series of least square fits to the measured concentration profile, followed by comparisons of these fits through statistical F-testing. This approach leads to an objective selection of the simplest production-consumption profile that reproduces the concentration profile. Because the numerical procedure is optimized with respect to speed, one prediction can typically be done in a few minutes or less on a personal computer. The technique has been tested successfully against analytical solutions describing the transport and consumption of O2 in sediment pore water. In other tests, measured concentration profiles of O2, NO3−, NH4+, and ΣCO2 have been interpreted using the new procedure.","container-title":"Limnology and Oceanography","DOI":"10.4319/lo.1998.43.7.1500","ISSN":"1939-5590","issue":"7","language":"en","note":"_eprint: https://onlinelibrary.wiley.com/doi/pdf/10.4319/lo.1998.43.7.1500","page":"1500-1510","source":"Wiley Online Library","title":"Interpretation of measured concentration profiles in sediment pore water","volume":"43","author":[{"family":"Berg","given":"Peter"},{"family":"Risgaard-Petersen","given":"Nils"},{"family":"Rysgaard","given":"Søren"}],"issued":{"date-parts":[["1998"]]}}}],"schema":"https://github.com/citation-style-language/schema/raw/master/csl-citation.json"} </w:instrText>
      </w:r>
      <w:r w:rsidR="005A6D9A">
        <w:fldChar w:fldCharType="separate"/>
      </w:r>
      <w:r w:rsidR="005A6D9A" w:rsidRPr="005A6D9A">
        <w:rPr>
          <w:rFonts w:ascii="Calibri" w:hAnsi="Calibri" w:cs="Calibri"/>
        </w:rPr>
        <w:t>(Berg et al., 1998)</w:t>
      </w:r>
      <w:r w:rsidR="005A6D9A">
        <w:fldChar w:fldCharType="end"/>
      </w:r>
      <w:r w:rsidR="005A6D9A">
        <w:t>. The software calculates the oxygen consumption of the depth profile by intervals and then taken as the best estimator for each core. Another indicator for fauna activities, the oxygen penetration depth (OPD), was defined as the distance from the sediment-water interface to where the oxygen is depleted.</w:t>
      </w:r>
      <w:r w:rsidR="00843846">
        <w:rPr>
          <w:rFonts w:hint="eastAsia"/>
        </w:rPr>
        <w:t xml:space="preserve"> </w:t>
      </w:r>
    </w:p>
    <w:p w14:paraId="7D05FC6A" w14:textId="68F25EEC" w:rsidR="00D22AFB" w:rsidRDefault="005A6D9A" w:rsidP="00577380">
      <w:r>
        <w:t xml:space="preserve">Since </w:t>
      </w:r>
      <w:r w:rsidR="002652DA">
        <w:t xml:space="preserve">both </w:t>
      </w:r>
      <w:r>
        <w:t xml:space="preserve">TOU and DOU were measured </w:t>
      </w:r>
      <w:r w:rsidR="002652DA" w:rsidRPr="002652DA">
        <w:t>on board</w:t>
      </w:r>
      <w:r>
        <w:t xml:space="preserve">, they were adjusted </w:t>
      </w:r>
      <w:r w:rsidR="002652DA">
        <w:t xml:space="preserve">to </w:t>
      </w:r>
      <w:r w:rsidR="002652DA" w:rsidRPr="002652DA">
        <w:rPr>
          <w:i/>
        </w:rPr>
        <w:t>in situ</w:t>
      </w:r>
      <w:r w:rsidR="002652DA">
        <w:t xml:space="preserve"> values </w:t>
      </w:r>
      <w:r>
        <w:t xml:space="preserve">using </w:t>
      </w:r>
      <w:r w:rsidR="00843846">
        <w:rPr>
          <w:rFonts w:hint="eastAsia"/>
        </w:rPr>
        <w:t>t</w:t>
      </w:r>
      <w:r w:rsidR="00843846">
        <w:t xml:space="preserve">he temperature coefficient </w:t>
      </w:r>
      <w:r>
        <w:t>Q</w:t>
      </w:r>
      <w:r w:rsidRPr="00843846">
        <w:rPr>
          <w:vertAlign w:val="subscript"/>
        </w:rPr>
        <w:t>10</w:t>
      </w:r>
      <w:r>
        <w:t xml:space="preserve"> </w:t>
      </w:r>
      <w:r>
        <w:fldChar w:fldCharType="begin"/>
      </w:r>
      <w:r>
        <w:instrText xml:space="preserve"> ADDIN ZOTERO_ITEM CSL_CITATION {"citationID":"1JVNrXuO","properties":{"formattedCitation":"(Valiela, 2015)","plainCitation":"(Valiela, 2015)","noteIndex":0},"citationItems":[{"id":1586,"uris":["http://zotero.org/users/6403124/items/9JMMID9S"],"itemData":{"id":1586,"type":"book","edition":"3rd","event-place":"New York","ISBN":"978-0-387-79070-1","language":"English","publisher":"Springer","publisher-place":"New York","title":"Marine ecological processes","URL":"10.1007/978-0-387-79070-1","author":[{"family":"Valiela","given":"Ivan"}],"issued":{"date-parts":[["2015"]]}}}],"schema":"https://github.com/citation-style-language/schema/raw/master/csl-citation.json"} </w:instrText>
      </w:r>
      <w:r>
        <w:fldChar w:fldCharType="separate"/>
      </w:r>
      <w:r w:rsidRPr="005A6D9A">
        <w:rPr>
          <w:rFonts w:ascii="Calibri" w:hAnsi="Calibri" w:cs="Calibri"/>
        </w:rPr>
        <w:t>(Valiela, 2015)</w:t>
      </w:r>
      <w:r>
        <w:fldChar w:fldCharType="end"/>
      </w:r>
      <w:r>
        <w:t xml:space="preserve">. </w:t>
      </w:r>
    </w:p>
    <w:p w14:paraId="23D1DAAC" w14:textId="4C810223" w:rsidR="00D22AFB" w:rsidRPr="00D22AFB" w:rsidRDefault="00182693" w:rsidP="00577380">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incub.</m:t>
              </m:r>
            </m:sub>
          </m:sSub>
          <m:r>
            <m:rPr>
              <m:lit/>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insitu</m:t>
                  </m:r>
                </m:sub>
              </m:sSub>
            </m:e>
            <m:sup>
              <m:r>
                <m:rPr>
                  <m:sty m:val="p"/>
                </m:rPr>
                <w:rPr>
                  <w:rFonts w:ascii="Cambria Math" w:hAnsi="Cambria Math"/>
                </w:rPr>
                <m:t>10</m:t>
              </m:r>
              <m:r>
                <m:rPr>
                  <m:lit/>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incub.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insitu</m:t>
                      </m:r>
                    </m:sub>
                  </m:sSub>
                </m:e>
              </m:d>
            </m:sup>
          </m:sSup>
        </m:oMath>
      </m:oMathPara>
    </w:p>
    <w:p w14:paraId="71023918" w14:textId="5DC71BCB" w:rsidR="005A6D9A" w:rsidRDefault="005A6D9A" w:rsidP="00577380">
      <w:r>
        <w:t>Q</w:t>
      </w:r>
      <w:r w:rsidRPr="002652DA">
        <w:rPr>
          <w:vertAlign w:val="subscript"/>
        </w:rPr>
        <w:t>10</w:t>
      </w:r>
      <w:r>
        <w:t xml:space="preserve"> was assumed to be 2</w:t>
      </w:r>
      <w:r w:rsidR="00A21C03">
        <w:t xml:space="preserve">, as </w:t>
      </w:r>
      <w:r>
        <w:t>for most ectotherms</w:t>
      </w:r>
      <w:r w:rsidR="00D22AFB">
        <w:t xml:space="preserve">; </w:t>
      </w:r>
      <w:r w:rsidR="009727B3">
        <w:t>R</w:t>
      </w:r>
      <w:r w:rsidR="009727B3" w:rsidRPr="009727B3">
        <w:rPr>
          <w:vertAlign w:val="subscript"/>
        </w:rPr>
        <w:t>incub.</w:t>
      </w:r>
      <w:r w:rsidR="009727B3">
        <w:t xml:space="preserve"> and T</w:t>
      </w:r>
      <w:r w:rsidR="009727B3" w:rsidRPr="009727B3">
        <w:rPr>
          <w:vertAlign w:val="subscript"/>
        </w:rPr>
        <w:t>incub.</w:t>
      </w:r>
      <w:r w:rsidR="009727B3">
        <w:rPr>
          <w:vertAlign w:val="subscript"/>
        </w:rPr>
        <w:t xml:space="preserve"> </w:t>
      </w:r>
      <w:r w:rsidR="009727B3">
        <w:t xml:space="preserve">were </w:t>
      </w:r>
      <w:r w:rsidR="00792C26">
        <w:t xml:space="preserve">the </w:t>
      </w:r>
      <w:r w:rsidR="009727B3">
        <w:t>measured oxygen utilization and incubated temperature</w:t>
      </w:r>
      <w:r w:rsidR="00A21C03">
        <w:t>;</w:t>
      </w:r>
      <w:r w:rsidR="009727B3">
        <w:t xml:space="preserve"> and</w:t>
      </w:r>
      <w:r w:rsidR="002652DA">
        <w:t xml:space="preserve"> </w:t>
      </w:r>
      <w:r w:rsidR="009727B3" w:rsidRPr="009727B3">
        <w:t>T</w:t>
      </w:r>
      <w:r w:rsidR="009727B3" w:rsidRPr="009727B3">
        <w:rPr>
          <w:vertAlign w:val="subscript"/>
        </w:rPr>
        <w:t>in sit</w:t>
      </w:r>
      <w:r w:rsidR="009727B3" w:rsidRPr="009727B3">
        <w:rPr>
          <w:rFonts w:hint="eastAsia"/>
          <w:vertAlign w:val="subscript"/>
        </w:rPr>
        <w:t>u</w:t>
      </w:r>
      <w:r w:rsidR="002652DA">
        <w:t xml:space="preserve"> was bottom water</w:t>
      </w:r>
      <w:r w:rsidR="009727B3">
        <w:rPr>
          <w:rFonts w:hint="eastAsia"/>
        </w:rPr>
        <w:t xml:space="preserve"> </w:t>
      </w:r>
      <w:r w:rsidR="009727B3">
        <w:t>temperature</w:t>
      </w:r>
      <w:r w:rsidR="004377F8">
        <w:t>. We estimated the contribution of metazoans on TOU, namely the benthic-mediated oxygen utilization (BOU)</w:t>
      </w:r>
      <w:r w:rsidR="007A04B6">
        <w:t>,</w:t>
      </w:r>
      <w:r w:rsidR="004377F8">
        <w:t xml:space="preserve"> by subtracting TOU</w:t>
      </w:r>
      <w:r w:rsidR="004377F8">
        <w:rPr>
          <w:rFonts w:hint="eastAsia"/>
        </w:rPr>
        <w:t xml:space="preserve"> </w:t>
      </w:r>
      <w:r w:rsidR="004377F8">
        <w:t>with DOU</w:t>
      </w:r>
      <w:r w:rsidR="00792C26">
        <w:t xml:space="preserve"> </w:t>
      </w:r>
      <w:r w:rsidR="003E72BD">
        <w:fldChar w:fldCharType="begin"/>
      </w:r>
      <w:r w:rsidR="003E72BD">
        <w:instrText xml:space="preserve"> ADDIN ZOTERO_ITEM CSL_CITATION {"citationID":"9dsdG7Z2","properties":{"formattedCitation":"(Glud, 2008)","plainCitation":"(Glud, 2008)","noteIndex":0},"citationItems":[{"id":251,"uris":["http://zotero.org/users/6403124/items/RR72J6SR"],"itemData":{"id":251,"type":"article-journal","abstract":"Benthic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sediments","volume":"4","author":[{"family":"Glud","given":"Ronnie N."}],"issued":{"date-parts":[["2008",8]]}}}],"schema":"https://github.com/citation-style-language/schema/raw/master/csl-citation.json"} </w:instrText>
      </w:r>
      <w:r w:rsidR="003E72BD">
        <w:fldChar w:fldCharType="separate"/>
      </w:r>
      <w:r w:rsidR="003E72BD" w:rsidRPr="003E72BD">
        <w:rPr>
          <w:rFonts w:ascii="Calibri" w:hAnsi="Calibri" w:cs="Calibri"/>
        </w:rPr>
        <w:t>(Glud, 2008)</w:t>
      </w:r>
      <w:r w:rsidR="003E72BD">
        <w:fldChar w:fldCharType="end"/>
      </w:r>
      <w:r w:rsidR="004377F8">
        <w:t xml:space="preserve">. </w:t>
      </w:r>
      <w:r w:rsidR="00E16803">
        <w:t xml:space="preserve">Since </w:t>
      </w:r>
      <w:r w:rsidR="004377F8">
        <w:t>BOU strongly co</w:t>
      </w:r>
      <w:r w:rsidR="00D9524C">
        <w:t xml:space="preserve">varied with TOU </w:t>
      </w:r>
      <w:r w:rsidR="00E16803" w:rsidRPr="00492837">
        <w:rPr>
          <w:color w:val="FF0000"/>
        </w:rPr>
        <w:t xml:space="preserve">(r = </w:t>
      </w:r>
      <w:r w:rsidR="00CF7DB9">
        <w:rPr>
          <w:color w:val="FF0000"/>
        </w:rPr>
        <w:t>0.98</w:t>
      </w:r>
      <w:r w:rsidR="00E16803" w:rsidRPr="00492837">
        <w:rPr>
          <w:color w:val="FF0000"/>
        </w:rPr>
        <w:t>)</w:t>
      </w:r>
      <w:r w:rsidR="004377F8">
        <w:t>, BOU was</w:t>
      </w:r>
      <w:r w:rsidR="004377F8" w:rsidRPr="004377F8">
        <w:t xml:space="preserve"> </w:t>
      </w:r>
      <w:r w:rsidR="004377F8">
        <w:t>not included for later analysis. DOU</w:t>
      </w:r>
      <w:r w:rsidR="00D9524C">
        <w:t xml:space="preserve"> measurements,</w:t>
      </w:r>
      <w:r w:rsidR="004377F8">
        <w:t xml:space="preserve"> on the other hand</w:t>
      </w:r>
      <w:r w:rsidR="00D9524C">
        <w:t xml:space="preserve">, </w:t>
      </w:r>
      <w:r w:rsidR="004377F8">
        <w:t xml:space="preserve">were generally similar between samples in compare to other regions of the world, and </w:t>
      </w:r>
      <w:r w:rsidR="000A32B0">
        <w:t xml:space="preserve">were </w:t>
      </w:r>
      <w:r w:rsidR="00383B79">
        <w:t>therefore</w:t>
      </w:r>
      <w:r w:rsidR="004377F8">
        <w:t xml:space="preserve"> not included for </w:t>
      </w:r>
      <w:r w:rsidR="007A04B6">
        <w:t xml:space="preserve">later </w:t>
      </w:r>
      <w:r w:rsidR="004377F8">
        <w:t>analys</w:t>
      </w:r>
      <w:r w:rsidR="007A04B6">
        <w:t>e</w:t>
      </w:r>
      <w:r w:rsidR="004377F8">
        <w:t>s (see discussion</w:t>
      </w:r>
      <w:r w:rsidR="00C56911">
        <w:t xml:space="preserve"> for detailed description</w:t>
      </w:r>
      <w:r w:rsidR="004377F8">
        <w:t>).</w:t>
      </w:r>
    </w:p>
    <w:p w14:paraId="7CBEBEDF" w14:textId="63E00B8E" w:rsidR="00A04402" w:rsidRPr="006D4CC7" w:rsidRDefault="00A04402" w:rsidP="00577380">
      <w:r>
        <w:t>After sediment profiling was completed, the upper 10 cm of the sediment were sieved through a 300 um and washed with filtered seawater to retain macrofauna. The retained samples were then fixed with a 1:1 ratio of filtered seawater and a Rose Bengal-stained 10% formaldehyde solution. The fixed samples were allowed to sit at least a week before sorting and measuring for body size.</w:t>
      </w:r>
    </w:p>
    <w:p w14:paraId="669F5B9A" w14:textId="799B73AE" w:rsidR="005B0207" w:rsidRDefault="005B0207" w:rsidP="00577380">
      <w:pPr>
        <w:pStyle w:val="Title2"/>
      </w:pPr>
      <w:r>
        <w:t>Laboratory analysis</w:t>
      </w:r>
    </w:p>
    <w:p w14:paraId="5A8477B3" w14:textId="4A4F568E" w:rsidR="00C613C8" w:rsidRDefault="00C613C8" w:rsidP="0069054C">
      <w:r>
        <w:t>Median grain size (D50), sand fraction, silt fraction, and clay fractions were measured with a laser diffraction size analyzer (Model LS-13320; Beckman Coulter Inc.). Sediment porosity (Por) and water content were measured by calculating the volume and weight difference after a 100</w:t>
      </w:r>
      <w:r>
        <w:rPr>
          <w:rFonts w:ascii="Times New Roman" w:hAnsi="Times New Roman" w:cs="Times New Roman"/>
        </w:rPr>
        <w:t>℃</w:t>
      </w:r>
      <w:r>
        <w:t xml:space="preserve"> for 24 hours assuming a specific density of 1.024 g cm</w:t>
      </w:r>
      <w:r w:rsidRPr="00C613C8">
        <w:rPr>
          <w:vertAlign w:val="superscript"/>
        </w:rPr>
        <w:t>-3</w:t>
      </w:r>
      <w:r>
        <w:t xml:space="preserve"> </w:t>
      </w:r>
      <w:r>
        <w:fldChar w:fldCharType="begin"/>
      </w:r>
      <w:r>
        <w:instrText xml:space="preserve"> ADDIN ZOTERO_ITEM CSL_CITATION {"citationID":"GDlMHd6N","properties":{"formattedCitation":"(Blum, 1997)","plainCitation":"(Blum, 1997)","noteIndex":0},"citationItems":[{"id":1565,"uris":["http://zotero.org/users/6403124/items/MTPJC84C"],"itemData":{"id":1565,"type":"chapter","container-title":"Physical properties handbook: a guide to the shipboard measurement of physical properties of deep-sea cores","event-place":"Texas, USA","language":"English","publisher-place":"Texas, USA","title":"Moisture and density (by mass and volume)","author":[{"family":"Blum","given":"Peter"}],"issued":{"date-parts":[["1997"]]}}}],"schema":"https://github.com/citation-style-language/schema/raw/master/csl-citation.json"} </w:instrText>
      </w:r>
      <w:r>
        <w:fldChar w:fldCharType="separate"/>
      </w:r>
      <w:r w:rsidRPr="00C613C8">
        <w:rPr>
          <w:rFonts w:ascii="Calibri" w:hAnsi="Calibri" w:cs="Calibri"/>
        </w:rPr>
        <w:t>(Blum, 1997)</w:t>
      </w:r>
      <w:r>
        <w:fldChar w:fldCharType="end"/>
      </w:r>
      <w:r>
        <w:t>.</w:t>
      </w:r>
    </w:p>
    <w:p w14:paraId="4207D805" w14:textId="7EF3655C" w:rsidR="0069054C" w:rsidRDefault="00A77FD2" w:rsidP="0069054C">
      <w:r>
        <w:t>We measured t</w:t>
      </w:r>
      <w:r w:rsidR="0069054C">
        <w:t>otal organic carbon (TOC), total nitrogen (TN), carbon-to-nitrogen ratio (CN),</w:t>
      </w:r>
      <w:r w:rsidR="0069054C" w:rsidRPr="0069054C">
        <w:t xml:space="preserve"> </w:t>
      </w:r>
      <w:r w:rsidR="0069054C">
        <w:t>sediment chlorophyll a (Chla), and stable isotopic carbon (</w:t>
      </w:r>
      <w:r w:rsidR="0069054C">
        <w:rPr>
          <w:rFonts w:cstheme="minorHAnsi"/>
        </w:rPr>
        <w:t>δ</w:t>
      </w:r>
      <w:r w:rsidR="0069054C" w:rsidRPr="0069054C">
        <w:rPr>
          <w:vertAlign w:val="superscript"/>
        </w:rPr>
        <w:t>13</w:t>
      </w:r>
      <w:r w:rsidR="0069054C">
        <w:t xml:space="preserve">C) </w:t>
      </w:r>
      <w:r>
        <w:t xml:space="preserve">of the sediments for </w:t>
      </w:r>
      <w:commentRangeStart w:id="2"/>
      <w:r>
        <w:t>bulk material</w:t>
      </w:r>
      <w:commentRangeEnd w:id="2"/>
      <w:r>
        <w:rPr>
          <w:rStyle w:val="a4"/>
        </w:rPr>
        <w:commentReference w:id="2"/>
      </w:r>
      <w:r>
        <w:t xml:space="preserve">. </w:t>
      </w:r>
      <w:r w:rsidR="0069054C">
        <w:t xml:space="preserve">In brief, the sediment </w:t>
      </w:r>
      <w:r>
        <w:t>sub</w:t>
      </w:r>
      <w:r w:rsidR="0069054C">
        <w:t>samples were first acidified with 6</w:t>
      </w:r>
      <w:r w:rsidR="00BF602D">
        <w:t>N</w:t>
      </w:r>
      <w:r w:rsidR="0069054C">
        <w:t xml:space="preserve"> HCL and then sent to the Flash 2000 elemental analyzer in tandem with a GC-</w:t>
      </w:r>
      <w:r w:rsidR="0069054C">
        <w:lastRenderedPageBreak/>
        <w:t xml:space="preserve">Isolink interface to a Delta V </w:t>
      </w:r>
      <w:r w:rsidR="00F055D2">
        <w:t xml:space="preserve">Plus isotope ratio mass spectrometer (both from Thermo Fisher Scientific) to measure TOC and </w:t>
      </w:r>
      <w:r w:rsidR="00F055D2">
        <w:rPr>
          <w:rFonts w:cstheme="minorHAnsi"/>
        </w:rPr>
        <w:t>δ</w:t>
      </w:r>
      <w:r w:rsidR="00F055D2" w:rsidRPr="0069054C">
        <w:rPr>
          <w:vertAlign w:val="superscript"/>
        </w:rPr>
        <w:t>13</w:t>
      </w:r>
      <w:r w:rsidR="00F055D2">
        <w:t xml:space="preserve">C. TOC values were reported in percent weight contribution, while </w:t>
      </w:r>
      <w:r w:rsidR="00F055D2">
        <w:rPr>
          <w:rFonts w:cstheme="minorHAnsi"/>
        </w:rPr>
        <w:t>δ</w:t>
      </w:r>
      <w:r w:rsidR="00F055D2" w:rsidRPr="0069054C">
        <w:rPr>
          <w:vertAlign w:val="superscript"/>
        </w:rPr>
        <w:t>13</w:t>
      </w:r>
      <w:r w:rsidR="00F055D2">
        <w:t xml:space="preserve">C values were calculated using Vienna-PeeDee Belemnite as the reference point and reported in </w:t>
      </w:r>
      <w:r w:rsidR="00F055D2">
        <w:rPr>
          <w:rFonts w:cstheme="minorHAnsi"/>
        </w:rPr>
        <w:t>‰</w:t>
      </w:r>
      <w:r w:rsidR="00F055D2">
        <w:t xml:space="preserve"> differences. TN measurements were similar to TOC and </w:t>
      </w:r>
      <w:r w:rsidR="00F055D2">
        <w:rPr>
          <w:rFonts w:cstheme="minorHAnsi"/>
        </w:rPr>
        <w:t>δ</w:t>
      </w:r>
      <w:r w:rsidR="00F055D2" w:rsidRPr="0069054C">
        <w:rPr>
          <w:vertAlign w:val="superscript"/>
        </w:rPr>
        <w:t>13</w:t>
      </w:r>
      <w:r w:rsidR="00F055D2">
        <w:t>C except no acid pretre</w:t>
      </w:r>
      <w:r w:rsidR="00B87748">
        <w:t>a</w:t>
      </w:r>
      <w:r w:rsidR="00355D8B">
        <w:t>t</w:t>
      </w:r>
      <w:r w:rsidR="00F055D2">
        <w:t>ments were applied before sending the sediment samples into the same instruments. CN was then derived by dividing TOC with TN. For Chla, the sediment samples were first sitting in 10-ml acetone-water solution with a volumetric ratio of 9</w:t>
      </w:r>
      <w:r w:rsidR="00F055D2">
        <w:rPr>
          <w:rFonts w:hint="eastAsia"/>
        </w:rPr>
        <w:t>:1</w:t>
      </w:r>
      <w:r w:rsidR="00F055D2">
        <w:t xml:space="preserve"> in the dark at 4</w:t>
      </w:r>
      <w:r w:rsidR="00F055D2">
        <w:rPr>
          <w:rFonts w:ascii="Times New Roman" w:hAnsi="Times New Roman" w:cs="Times New Roman"/>
        </w:rPr>
        <w:t>℃</w:t>
      </w:r>
      <w:r w:rsidR="00F055D2">
        <w:t xml:space="preserve"> for 24 hours. The chlorophyll extracts were then measured with a fluorometer (Model 10-AU; Turner Designs, Inc.) and reported in nanogram per gram dry weight.</w:t>
      </w:r>
    </w:p>
    <w:p w14:paraId="0BDFB8E4" w14:textId="77777777" w:rsidR="00337B75" w:rsidRDefault="000D001B" w:rsidP="000D001B">
      <w:r>
        <w:t>Back in the lab, the liquid of the fixed fauna samples was replaced with 70</w:t>
      </w:r>
      <w:r>
        <w:rPr>
          <w:rFonts w:hint="eastAsia"/>
        </w:rPr>
        <w:t>% e</w:t>
      </w:r>
      <w:r>
        <w:t xml:space="preserve">thanol for long-term storage. </w:t>
      </w:r>
      <w:r w:rsidR="004307C0">
        <w:t>F</w:t>
      </w:r>
      <w:r>
        <w:t xml:space="preserve">auna samples </w:t>
      </w:r>
      <w:r w:rsidR="004307C0">
        <w:t xml:space="preserve">were sorted </w:t>
      </w:r>
      <w:r>
        <w:t xml:space="preserve">into major taxa (mostly at order level) and measured with an ocular micrometer for biomass estimation. </w:t>
      </w:r>
      <w:r w:rsidR="001F1E5D">
        <w:t>O</w:t>
      </w:r>
      <w:r w:rsidR="0050333C">
        <w:t>nly the specimens with their cephalic region intact were included in later analysis</w:t>
      </w:r>
      <w:r w:rsidR="005C726D">
        <w:t>.</w:t>
      </w:r>
      <w:r w:rsidR="00337B75">
        <w:t xml:space="preserve"> </w:t>
      </w:r>
      <w:r w:rsidR="005C726D" w:rsidRPr="005C726D">
        <w:t xml:space="preserve">Various methods were used to estimate taxon-specific biovolume. The biovolumes of polychaetes were estimated with each individual’s body shape. The body shapes of vermiform polychaetes were assumed to be cylinder, while sternaspid polychaetes were assumed to be ellipsoids. The biovolumes for some common benthic taxa were calculated </w:t>
      </w:r>
      <w:r w:rsidR="005F39B0">
        <w:t xml:space="preserve">using </w:t>
      </w:r>
      <w:r w:rsidR="005C726D" w:rsidRPr="005C726D">
        <w:t xml:space="preserve">the Length-Width Relationship (LWR): </w:t>
      </w:r>
    </w:p>
    <w:p w14:paraId="0499BC3B" w14:textId="328AE6B7" w:rsidR="00337B75" w:rsidRDefault="00337B75" w:rsidP="000D001B">
      <m:oMath>
        <m:r>
          <m:rPr>
            <m:sty m:val="p"/>
          </m:rPr>
          <w:rPr>
            <w:rFonts w:ascii="Cambria Math" w:hAnsi="Cambria Math"/>
          </w:rPr>
          <m:t>V=cL</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oMath>
      <w:r>
        <w:t>,</w:t>
      </w:r>
    </w:p>
    <w:p w14:paraId="67774180" w14:textId="5C535967" w:rsidR="0017616C" w:rsidRDefault="005C726D" w:rsidP="000D001B">
      <w:r w:rsidRPr="005C726D">
        <w:t xml:space="preserve">where V is the individual volume; c is the taxon-specific conversion factor; L and W are the maximum length and width of the individual (Feller and Warwick, 1988). </w:t>
      </w:r>
      <w:r w:rsidR="005F39B0">
        <w:t>T</w:t>
      </w:r>
      <w:r w:rsidRPr="005C726D">
        <w:t xml:space="preserve">he biovolumes </w:t>
      </w:r>
      <w:r w:rsidR="005F39B0">
        <w:t xml:space="preserve">of some </w:t>
      </w:r>
      <w:r w:rsidR="005F39B0" w:rsidRPr="005C726D">
        <w:t xml:space="preserve">odd-shaped taxa </w:t>
      </w:r>
      <w:r w:rsidRPr="005C726D">
        <w:t xml:space="preserve">were </w:t>
      </w:r>
      <w:r w:rsidR="005F39B0">
        <w:t xml:space="preserve">also </w:t>
      </w:r>
      <w:r w:rsidRPr="005C726D">
        <w:t xml:space="preserve">estimated using LWR </w:t>
      </w:r>
      <w:r w:rsidR="005F39B0">
        <w:t xml:space="preserve">with </w:t>
      </w:r>
      <w:r w:rsidRPr="005C726D">
        <w:t xml:space="preserve">conversion factors </w:t>
      </w:r>
      <w:r w:rsidR="005F39B0">
        <w:t xml:space="preserve">borrowed </w:t>
      </w:r>
      <w:r w:rsidRPr="005C726D">
        <w:t xml:space="preserve">from taxa with similar body shapes. </w:t>
      </w:r>
      <w:r w:rsidR="005F39B0" w:rsidRPr="005C726D">
        <w:t xml:space="preserve">The biovolumes of </w:t>
      </w:r>
      <w:r w:rsidR="005F39B0" w:rsidRPr="005C726D">
        <w:lastRenderedPageBreak/>
        <w:t xml:space="preserve">some other taxa with relatively simple body shapes were approximated with geometric shapes (i.e., cylinder, cone, ellipsoid) (e.g., Hillebrand et al. 1999). </w:t>
      </w:r>
      <w:r w:rsidRPr="005C726D">
        <w:t>The rest of the taxa were assumed to be cylindrical during measurement following the general volumetric method (Benoist et al., 2019). The derived biovolumes were then converted to wet weight by assuming a specific density of 1.13 (Gerlach et al., 1985).</w:t>
      </w:r>
    </w:p>
    <w:p w14:paraId="1C8E275E" w14:textId="5A9CCFE9" w:rsidR="0067188B" w:rsidRDefault="008F0CE4" w:rsidP="00577380">
      <w:pPr>
        <w:pStyle w:val="Title2"/>
      </w:pPr>
      <w:r w:rsidRPr="004E22B6">
        <w:t>Data analysis</w:t>
      </w:r>
    </w:p>
    <w:p w14:paraId="3224C9B1" w14:textId="376C1FC7" w:rsidR="00330377" w:rsidRDefault="0017616C" w:rsidP="00330377">
      <w:r>
        <w:t xml:space="preserve">All data analysis were conducted using R version 4.0.3 </w:t>
      </w:r>
      <w:r>
        <w:fldChar w:fldCharType="begin"/>
      </w:r>
      <w:r>
        <w:instrText xml:space="preserve"> ADDIN ZOTERO_ITEM CSL_CITATION {"citationID":"WHnnrj1k","properties":{"formattedCitation":"(R Core Team, 2020)","plainCitation":"(R Core Team, 2020)","noteIndex":0},"citationItems":[{"id":1390,"uris":["http://zotero.org/users/6403124/items/BRTUU83S"],"itemData":{"id":1390,"type":"software","event-place":"Vienna, Austria","publisher":"R Foundation for Statistical Computing","publisher-place":"Vienna, Austria","title":"R: A Language and Environment for Statistical Computing","URL":"https://www.R-project.org/","author":[{"family":"R Core Team","given":""}],"issued":{"date-parts":[["2020"]]}}}],"schema":"https://github.com/citation-style-language/schema/raw/master/csl-citation.json"} </w:instrText>
      </w:r>
      <w:r>
        <w:fldChar w:fldCharType="separate"/>
      </w:r>
      <w:r w:rsidRPr="0017616C">
        <w:rPr>
          <w:rFonts w:ascii="Calibri" w:hAnsi="Calibri" w:cs="Calibri"/>
        </w:rPr>
        <w:t>(R Core Team, 2020)</w:t>
      </w:r>
      <w:r>
        <w:fldChar w:fldCharType="end"/>
      </w:r>
      <w:r>
        <w:t xml:space="preserve"> with additional statistical packages </w:t>
      </w:r>
      <w:r w:rsidRPr="0017616C">
        <w:rPr>
          <w:i/>
        </w:rPr>
        <w:t>vegan</w:t>
      </w:r>
      <w:r>
        <w:t xml:space="preserve"> </w:t>
      </w:r>
      <w:r>
        <w:fldChar w:fldCharType="begin"/>
      </w:r>
      <w:r>
        <w:instrText xml:space="preserve"> ADDIN ZOTERO_ITEM CSL_CITATION {"citationID":"3IXYOvMe","properties":{"formattedCitation":"(Oksanen et al., 2021)","plainCitation":"(Oksanen et al., 2021)","noteIndex":0},"citationItems":[{"id":1391,"uris":["http://zotero.org/users/6403124/items/FIFD9NT9"],"itemData":{"id":1391,"type":"software","title":"vegan: Community Ecology Package","URL":"https://github.com/vegandevs/vegan","version":"R package version 2.6-0","author":[{"family":"Oksanen","given":"Jari"},{"literal":"F. Guillaume Blanchet"},{"literal":"Michael Friendly"},{"literal":"Roeland Kindt"},{"literal":"Pierre Legendre"},{"literal":"Dan McGlinn"},{"literal":"Peter R. Minchin"},{"literal":"R. B. O'Hara"},{"literal":"Gavin L. Simpson"},{"literal":"Peter Solymos"},{"literal":"M. Henry H. Stevens"},{"literal":"Eduard Szoecs"},{"literal":"Helene Wagner"}],"issued":{"date-parts":[["2021"]]}}}],"schema":"https://github.com/citation-style-language/schema/raw/master/csl-citation.json"} </w:instrText>
      </w:r>
      <w:r>
        <w:fldChar w:fldCharType="separate"/>
      </w:r>
      <w:r w:rsidRPr="0017616C">
        <w:rPr>
          <w:rFonts w:ascii="Calibri" w:hAnsi="Calibri" w:cs="Calibri"/>
        </w:rPr>
        <w:t>(Oksanen et al., 2021)</w:t>
      </w:r>
      <w:r>
        <w:fldChar w:fldCharType="end"/>
      </w:r>
      <w:r>
        <w:t xml:space="preserve">, </w:t>
      </w:r>
      <w:r w:rsidRPr="0017616C">
        <w:rPr>
          <w:i/>
        </w:rPr>
        <w:t>MuMIn</w:t>
      </w:r>
      <w:r>
        <w:t xml:space="preserve"> </w:t>
      </w:r>
      <w:r>
        <w:fldChar w:fldCharType="begin"/>
      </w:r>
      <w:r>
        <w:instrText xml:space="preserve"> ADDIN ZOTERO_ITEM CSL_CITATION {"citationID":"gGP0YlBK","properties":{"formattedCitation":"(Barto\\uc0\\u324{}, 2022)","plainCitation":"(Bartoń, 2022)","noteIndex":0},"citationItems":[{"id":1928,"uris":["http://zotero.org/users/6403124/items/VFXILAJU"],"itemData":{"id":1928,"type":"software","title":"MuMIn: Multi-Model Inference","URL":"url = https://CRAN.R-project.org/package=MuMIn","version":"R package version 1.46.0","author":[{"family":"Bartoń","given":"Kamil"}],"issued":{"date-parts":[["2022"]]}}}],"schema":"https://github.com/citation-style-language/schema/raw/master/csl-citation.json"} </w:instrText>
      </w:r>
      <w:r>
        <w:fldChar w:fldCharType="separate"/>
      </w:r>
      <w:r w:rsidRPr="0017616C">
        <w:rPr>
          <w:rFonts w:ascii="Calibri" w:hAnsi="Calibri" w:cs="Calibri"/>
          <w:szCs w:val="24"/>
        </w:rPr>
        <w:t>(Bartoń, 2022)</w:t>
      </w:r>
      <w:r>
        <w:fldChar w:fldCharType="end"/>
      </w:r>
      <w:r>
        <w:t xml:space="preserve">. Packages </w:t>
      </w:r>
      <w:r w:rsidRPr="0017616C">
        <w:rPr>
          <w:i/>
        </w:rPr>
        <w:t>dplyr</w:t>
      </w:r>
      <w:r>
        <w:t xml:space="preserve"> and </w:t>
      </w:r>
      <w:r w:rsidRPr="0017616C">
        <w:rPr>
          <w:i/>
        </w:rPr>
        <w:t>tidyr</w:t>
      </w:r>
      <w:r>
        <w:t xml:space="preserve"> were used for data cleaning </w:t>
      </w:r>
      <w:r>
        <w:fldChar w:fldCharType="begin"/>
      </w:r>
      <w:r>
        <w:instrText xml:space="preserve"> ADDIN ZOTERO_ITEM CSL_CITATION {"citationID":"UsRHloUn","properties":{"formattedCitation":"(Wickham, 2021; Wickham et al., 2021)","plainCitation":"(Wickham, 2021; Wickham et al., 2021)","noteIndex":0},"citationItems":[{"id":10687,"uris":["http://zotero.org/users/6403124/items/XW9CFBFW"],"itemData":{"id":10687,"type":"software","title":"tidyr: Tidy Messy Data","URL":"https://CRAN.R-project.org/package=tidyr","version":"R package version 1.1.3","author":[{"family":"Wickham","given":"Hadley"}],"issued":{"date-parts":[["2021"]]}}},{"id":10688,"uris":["http://zotero.org/users/6403124/items/KQ2N6JJZ"],"itemData":{"id":10688,"type":"software","title":"dplyr: A Grammar of Data Manipulation","URL":"https://CRAN.R-project.org/package=dplyr","version":"R package version 1.0.7","author":[{"family":"Wickham","given":"Hadley"},{"family":"Francois","given":"Romain"},{"family":"Henry","given":"Lionel"},{"family":"Muller","given":"Kirill"}],"issued":{"date-parts":[["2021"]]}}}],"schema":"https://github.com/citation-style-language/schema/raw/master/csl-citation.json"} </w:instrText>
      </w:r>
      <w:r>
        <w:fldChar w:fldCharType="separate"/>
      </w:r>
      <w:r w:rsidRPr="0017616C">
        <w:rPr>
          <w:rFonts w:ascii="Calibri" w:hAnsi="Calibri" w:cs="Calibri"/>
        </w:rPr>
        <w:t>(Wickham, 2021; Wickham et al., 2021)</w:t>
      </w:r>
      <w:r>
        <w:fldChar w:fldCharType="end"/>
      </w:r>
      <w:r>
        <w:t xml:space="preserve">. Results were visualized with </w:t>
      </w:r>
      <w:r w:rsidRPr="0017616C">
        <w:rPr>
          <w:i/>
        </w:rPr>
        <w:t>ggplot2</w:t>
      </w:r>
      <w:r w:rsidR="00380EB6">
        <w:t xml:space="preserve"> and its extensions</w:t>
      </w:r>
      <w:r>
        <w:t xml:space="preserve"> </w:t>
      </w:r>
      <w:r>
        <w:fldChar w:fldCharType="begin"/>
      </w:r>
      <w:r>
        <w:instrText xml:space="preserve"> ADDIN ZOTERO_ITEM CSL_CITATION {"citationID":"u2BSSxxy","properties":{"formattedCitation":"(Schloerke et al., 2021; Slowikowski, 2021; Wickham, 2016)","plainCitation":"(Schloerke et al., 2021; Slowikowski, 2021; Wickham, 2016)","noteIndex":0},"citationItems":[{"id":1395,"uris":["http://zotero.org/users/6403124/items/H2YSIWE4"],"itemData":{"id":1395,"type":"software","title":"GGally: Extension to 'ggplot2'","URL":"https://CRAN.R-project.org/package=GGally","version":"R package version 2.1.2","author":[{"family":"Schloerke","given":"Barret"},{"family":"Cook","given":"Di"},{"family":"Larmarange","given":"Joseph"},{"family":"Briatte","given":"Francois"},{"family":"Marbach","given":"Moritz"},{"family":"Thoen","given":"Edwin"},{"family":"Elberg","given":"Amos"},{"family":"Crowley","given":"Jason"}],"issued":{"date-parts":[["2021"]]}}},{"id":1394,"uris":["http://zotero.org/users/6403124/items/63NYWZP8"],"itemData":{"id":1394,"type":"software","title":"ggrepel: Automatically Position Non-Overlapping Text Labels with 'ggplot2'","URL":"https://CRAN.R-project.org/package=ggrepel","version":"R package version 0.9.1","author":[{"family":"Slowikowski","given":"Kamil"}],"issued":{"date-parts":[["2021"]]}}},{"id":1393,"uris":["http://zotero.org/users/6403124/items/SM5E6BWN"],"itemData":{"id":1393,"type":"software","ISBN":"978-3-319-24277-4","publisher":"Springer-Verlag New York","title":"ggplot2: elegant graphics for data analysis","URL":"https://ggplot2.tidyverse.org","author":[{"family":"Wickham","given":"Hadley"}],"issued":{"date-parts":[["2016"]]}}}],"schema":"https://github.com/citation-style-language/schema/raw/master/csl-citation.json"} </w:instrText>
      </w:r>
      <w:r>
        <w:fldChar w:fldCharType="separate"/>
      </w:r>
      <w:r w:rsidRPr="0017616C">
        <w:rPr>
          <w:rFonts w:ascii="Calibri" w:hAnsi="Calibri" w:cs="Calibri"/>
        </w:rPr>
        <w:t>(Schloerke et al., 2021; Slowikowski, 2021; Wickham, 2016)</w:t>
      </w:r>
      <w:r>
        <w:fldChar w:fldCharType="end"/>
      </w:r>
      <w:r w:rsidR="007C714E">
        <w:t xml:space="preserve"> and reported with the language of evidence </w:t>
      </w:r>
      <w:r w:rsidR="007C714E">
        <w:fldChar w:fldCharType="begin"/>
      </w:r>
      <w:r w:rsidR="007C714E">
        <w:instrText xml:space="preserve"> ADDIN ZOTERO_ITEM CSL_CITATION {"citationID":"TohuenOP","properties":{"formattedCitation":"(Muff et al., 2022)","plainCitation":"(Muff et al., 2022)","noteIndex":0},"citationItems":[{"id":4988,"uris":["http://zotero.org/users/6403124/items/8LMRM7J3"],"itemData":{"id":4988,"type":"article-journal","abstract":"Despite much criticism, black-or-white null-hypothesis significance testing with an arbitrary P-value cutoff still is the standard way to report scientific findings. One obstacle to progress is likely a lack of knowledge about suitable alternatives. Here, we suggest language of evidence that allows for a more nuanced approach to communicate scientific findings as a simple and intuitive alternative to statistical significance testing. We provide examples for rewriting results sections in research papers accordingly. Language of evidence has previously been suggested in medical statistics, and it is consistent with reporting approaches of international research networks, like the Intergovernmental Panel on Climate Change, for example. Instead of re-inventing the wheel, ecology and evolution might benefit from adopting some of the ‘good practices’ that exist in other fields.","container-title":"Trends in Ecology &amp; Evolution","DOI":"10.1016/j.tree.2021.10.009","ISSN":"0169-5347","issue":"3","journalAbbreviation":"Trends in Ecology &amp; Evolution","language":"en","page":"203-210","source":"ScienceDirect","title":"Rewriting results sections in the language of evidence","volume":"37","author":[{"family":"Muff","given":"Stefanie"},{"family":"Nilsen","given":"Erlend B."},{"family":"O’Hara","given":"Robert B."},{"family":"Nater","given":"Chloé R."}],"issued":{"date-parts":[["2022",3,1]]}}}],"schema":"https://github.com/citation-style-language/schema/raw/master/csl-citation.json"} </w:instrText>
      </w:r>
      <w:r w:rsidR="007C714E">
        <w:fldChar w:fldCharType="separate"/>
      </w:r>
      <w:r w:rsidR="007C714E" w:rsidRPr="007C714E">
        <w:rPr>
          <w:rFonts w:ascii="Calibri" w:hAnsi="Calibri" w:cs="Calibri"/>
        </w:rPr>
        <w:t>(Muff et al., 2022)</w:t>
      </w:r>
      <w:r w:rsidR="007C714E">
        <w:fldChar w:fldCharType="end"/>
      </w:r>
      <w:r>
        <w:t>.</w:t>
      </w:r>
      <w:r w:rsidR="0015585D">
        <w:t xml:space="preserve"> P</w:t>
      </w:r>
      <w:r w:rsidR="00330377">
        <w:t xml:space="preserve"> </w:t>
      </w:r>
      <w:r w:rsidR="0015585D">
        <w:t>value</w:t>
      </w:r>
      <w:r w:rsidR="00330377">
        <w:t>s ranging from 0.001 to 0.0001 provide very strong evidence, while p values ranging from 0.01 to 0.001 indicate strong evidence. P values ranging from 0.05 to 0.0, from 0.1 to 0.05, and from 1 to 0.1 indicate moderate, weak, and no evidence, respectively.</w:t>
      </w:r>
    </w:p>
    <w:p w14:paraId="0DE006F0" w14:textId="32EC05F8" w:rsidR="00A30BC8" w:rsidRDefault="0067743C" w:rsidP="0017616C">
      <w:r>
        <w:t>We divided explanatory variables into (</w:t>
      </w:r>
      <w:r>
        <w:rPr>
          <w:rFonts w:hint="eastAsia"/>
        </w:rPr>
        <w:t>1</w:t>
      </w:r>
      <w:r>
        <w:t xml:space="preserve">) spatiotemporal factors and (2) environmental variables to </w:t>
      </w:r>
      <w:r w:rsidR="00057834">
        <w:t>seek</w:t>
      </w:r>
      <w:r>
        <w:t xml:space="preserve"> spatiotemporal patterns and</w:t>
      </w:r>
      <w:r w:rsidR="001E76AC">
        <w:t xml:space="preserve"> identify</w:t>
      </w:r>
      <w:r>
        <w:t xml:space="preserve"> environmental drivers separately. </w:t>
      </w:r>
      <w:r w:rsidR="00B428F4">
        <w:t xml:space="preserve">Although </w:t>
      </w:r>
      <w:r>
        <w:t xml:space="preserve">not directly measured, </w:t>
      </w:r>
      <w:r w:rsidR="00D658CB">
        <w:t>the distance between each station and the Gaoping River mouth (</w:t>
      </w:r>
      <w:r>
        <w:t>DR</w:t>
      </w:r>
      <w:r>
        <w:rPr>
          <w:rFonts w:hint="eastAsia"/>
        </w:rPr>
        <w:t>M</w:t>
      </w:r>
      <w:r w:rsidR="00D658CB">
        <w:t>)</w:t>
      </w:r>
      <w:r>
        <w:t xml:space="preserve"> was calculated using </w:t>
      </w:r>
      <w:r w:rsidRPr="00A874E5">
        <w:t>World Geodetic System 1984</w:t>
      </w:r>
      <w:r>
        <w:t>. The coordinate of the river mouth was arbitrarily set at 120.423960</w:t>
      </w:r>
      <w:r>
        <w:rPr>
          <w:rFonts w:cstheme="minorHAnsi"/>
        </w:rPr>
        <w:t>⁰</w:t>
      </w:r>
      <w:r>
        <w:t>E and 22.470504</w:t>
      </w:r>
      <w:r>
        <w:rPr>
          <w:rFonts w:cstheme="minorHAnsi"/>
        </w:rPr>
        <w:t>⁰</w:t>
      </w:r>
      <w:r>
        <w:t>N using Google Map (</w:t>
      </w:r>
      <w:r w:rsidRPr="00A874E5">
        <w:rPr>
          <w:color w:val="FF0000"/>
        </w:rPr>
        <w:t>figure 1</w:t>
      </w:r>
      <w:r>
        <w:t>)</w:t>
      </w:r>
      <w:r>
        <w:rPr>
          <w:rFonts w:hint="eastAsia"/>
        </w:rPr>
        <w:t>.</w:t>
      </w:r>
      <w:r>
        <w:t xml:space="preserve"> </w:t>
      </w:r>
      <w:r w:rsidR="0017616C">
        <w:rPr>
          <w:rFonts w:hint="eastAsia"/>
        </w:rPr>
        <w:t>K</w:t>
      </w:r>
      <w:r w:rsidR="0017616C">
        <w:t xml:space="preserve">ey environmental variables were screened out with ecological reasoning and a Pearson correlation coefficient threshold of |r| &gt; 0.7 to prevent spurious results </w:t>
      </w:r>
      <w:r w:rsidR="0017616C">
        <w:fldChar w:fldCharType="begin"/>
      </w:r>
      <w:r w:rsidR="0017616C">
        <w:instrText xml:space="preserve"> ADDIN ZOTERO_ITEM CSL_CITATION {"citationID":"qmhcJw77","properties":{"formattedCitation":"(Dormann et al., 2013)","plainCitation":"(Dormann et al., 2013)","noteIndex":0},"citationItems":[{"id":1929,"uris":["http://zotero.org/users/6403124/items/EDDHKDXG"],"itemData":{"id":1929,"type":"article-journal","abstract":"Collinearity refers to the non independence of predictor variables, usually in a regression-type analysis. It is a common feature of any descriptive ecological data set and can be a problem for parameter estimation because it inflates the variance of regression parameters and hence potentially leads to the wrong identification of relevant predictors in a statistical model. Collinearity is a severe problem when a model is trained on data from one region or time, and predicted to another with a different or unknown structure of collinearity. To demonstrate the reach of the problem of collinearity in ecology, we show how relationships among predictors differ between biomes, change over spatial scales and through time. Across disciplines, different approaches to addressing collinearity problems have been developed, ranging from clustering of predictors, threshold-based pre-selection, through latent variable methods, to shrinkage and regularisation. Using simulated data with five predictor-response relationships of increasing complexity and eight levels of collinearity we compared ways to address collinearity with standard multiple regression and machine-learning approaches. We assessed the performance of each approach by testing its impact on prediction to new data. In the extreme, we tested whether the methods were able to identify the true underlying relationship in a training dataset with strong collinearity by evaluating its performance on a test dataset without any collinearity. We found that methods specifically designed for collinearity, such as latent variable methods and tree based models, did not outperform the traditional GLM and threshold-based pre-selection. Our results highlight the value of GLM in combination with penalised methods (particularly ridge) and threshold-based pre-selection when omitted variables are considered in the final interpretation. However, all approaches tested yielded degraded predictions under change in collinearity structure and the ‘folk lore’-thresholds of correlation coefficients between predictor variables of |r| &gt;0.7 was an appropriate indicator for when collinearity begins to severely distort model estimation and subsequent prediction. The use of ecological understanding of the system in pre-analysis variable selection and the choice of the least sensitive statistical approaches reduce the problems of collinearity, but cannot ultimately solve them.","container-title":"Ecography","DOI":"10.1111/j.1600-0587.2012.07348.x","ISSN":"1600-0587","issue":"1","language":"en","note":"_eprint: https://onlinelibrary.wiley.com/doi/pdf/10.1111/j.1600-0587.2012.07348.x","page":"27-46","source":"Wiley Online Library","title":"Collinearity: a review of methods to deal with it and a simulation study evaluating their performance","title-short":"Collinearity","volume":"36","author":[{"family":"Dormann","given":"Carsten F."},{"family":"Elith","given":"Jane"},{"family":"Bacher","given":"Sven"},{"family":"Buchmann","given":"Carsten"},{"family":"Carl","given":"Gudrun"},{"family":"Carré","given":"Gabriel"},{"family":"Marquéz","given":"Jaime R. García"},{"family":"Gruber","given":"Bernd"},{"family":"Lafourcade","given":"Bruno"},{"family":"Leitão","given":"Pedro J."},{"family":"Münkemüller","given":"Tamara"},{"family":"McClean","given":"Colin"},{"family":"Osborne","given":"Patrick E."},{"family":"Reineking","given":"Björn"},{"family":"Schröder","given":"Boris"},{"family":"Skidmore","given":"Andrew K."},{"family":"Zurell","given":"Damaris"},{"family":"Lautenbach","given":"Sven"}],"issued":{"date-parts":[["2013"]]}}}],"schema":"https://github.com/citation-style-language/schema/raw/master/csl-citation.json"} </w:instrText>
      </w:r>
      <w:r w:rsidR="0017616C">
        <w:fldChar w:fldCharType="separate"/>
      </w:r>
      <w:r w:rsidR="0017616C" w:rsidRPr="0017616C">
        <w:rPr>
          <w:rFonts w:ascii="Calibri" w:hAnsi="Calibri" w:cs="Calibri"/>
        </w:rPr>
        <w:t>(Dormann et al., 2013)</w:t>
      </w:r>
      <w:r w:rsidR="0017616C">
        <w:fldChar w:fldCharType="end"/>
      </w:r>
      <w:r w:rsidR="0017616C">
        <w:t>.</w:t>
      </w:r>
      <w:r w:rsidR="0080512A">
        <w:t xml:space="preserve"> </w:t>
      </w:r>
      <w:r w:rsidR="00A30BC8">
        <w:t xml:space="preserve">Dissolved oxygen was excluded since all stations were well-oxygenated </w:t>
      </w:r>
      <w:r w:rsidR="00A30BC8">
        <w:fldChar w:fldCharType="begin"/>
      </w:r>
      <w:r w:rsidR="00A30BC8">
        <w:instrText xml:space="preserve"> ADDIN ZOTERO_ITEM CSL_CITATION {"citationID":"Xz016xUt","properties":{"formattedCitation":"(Middelburg and Levin, 2009)","plainCitation":"(Middelburg and Levin, 2009)","noteIndex":0},"citationItems":[{"id":1234,"uris":["http://zotero.org/users/6403124/items/NVX5NXDF"],"itemData":{"id":1234,"type":"article-journal","abstract":"&lt;p&gt;&lt;strong class=\"journal-contentHeaderColor\"&gt;Abstract.&lt;/strong&gt; The intensity, duration and frequency of coastal hypoxia (oxygen concentration &amp;lt;63 μM) are increasing due to human alteration of coastal ecosystems and changes in oceanographic conditions due to global warming. Here we provide a concise review of the consequences of coastal hypoxia for sediment biogeochemistry. Changes in bottom-water oxygen levels have consequences for early diagenetic pathways (more anaerobic at expense of aerobic pathways), the efficiency of re-oxidation of reduced metabolites and the nature, direction and magnitude of sediment-water exchange fluxes. Hypoxia may also lead to more organic matter accumulation and burial and the organic matter eventually buried is also of higher quality, i.e. less degraded. Bottom-water oxygen levels also affect the organisms involved in organic matter processing with the contribution of metazoans decreasing as oxygen levels drop. Hypoxia has a significant effect on benthic animals with the consequences that ecosystem functions related to macrofauna such as bio-irrigation and bioturbation are significantly affected by hypoxia as well. Since many microbes and microbial-mediated biogeochemical processes depend on animal-induced transport processes (e.g. re-oxidation of particulate reduced sulphur and denitrification), there are indirect hypoxia effects on biogeochemistry via the benthos. Severe long-lasting hypoxia and anoxia may result in the accumulation of reduced compounds in sediments and elimination of macrobenthic communities with the consequences that biogeochemical properties during trajectories of decreasing and increasing oxygen may be different (hysteresis) with consequences for coastal ecosystem dynamics.&lt;/p&gt;","container-title":"Biogeosciences","DOI":"10.5194/bg-6-1273-2009","ISSN":"1726-4170","issue":"7","language":"English","note":"publisher: Copernicus GmbH","page":"1273-1293","source":"bg.copernicus.org","title":"Coastal hypoxia and sediment biogeochemistry","volume":"6","author":[{"family":"Middelburg","given":"J. J."},{"family":"Levin","given":"L. A."}],"issued":{"date-parts":[["2009",7,28]]}}}],"schema":"https://github.com/citation-style-language/schema/raw/master/csl-citation.json"} </w:instrText>
      </w:r>
      <w:r w:rsidR="00A30BC8">
        <w:fldChar w:fldCharType="separate"/>
      </w:r>
      <w:r w:rsidR="00A30BC8" w:rsidRPr="00A30BC8">
        <w:rPr>
          <w:rFonts w:ascii="Calibri" w:hAnsi="Calibri" w:cs="Calibri"/>
        </w:rPr>
        <w:t>(Middelburg and Levin, 2009)</w:t>
      </w:r>
      <w:r w:rsidR="00A30BC8">
        <w:fldChar w:fldCharType="end"/>
      </w:r>
      <w:r w:rsidR="00A30BC8">
        <w:t xml:space="preserve">. </w:t>
      </w:r>
      <w:r w:rsidR="0080512A">
        <w:t xml:space="preserve">Strong </w:t>
      </w:r>
      <w:r w:rsidR="0080512A">
        <w:lastRenderedPageBreak/>
        <w:t>correlations were present between salinity, transmission, and temperature (|r| &gt; 0.7)</w:t>
      </w:r>
      <w:r w:rsidR="00A30BC8">
        <w:t xml:space="preserve">; temperature was </w:t>
      </w:r>
      <w:r w:rsidR="005C4000">
        <w:rPr>
          <w:rFonts w:hint="eastAsia"/>
        </w:rPr>
        <w:t>s</w:t>
      </w:r>
      <w:r w:rsidR="005C4000">
        <w:t xml:space="preserve">elected into further analysis </w:t>
      </w:r>
      <w:r w:rsidR="00A30BC8">
        <w:t xml:space="preserve">due to its </w:t>
      </w:r>
      <w:r w:rsidR="005C4000">
        <w:t xml:space="preserve">cross-scale ecological </w:t>
      </w:r>
      <w:r w:rsidR="00A30BC8">
        <w:t>importance</w:t>
      </w:r>
      <w:r w:rsidR="005C4000">
        <w:t xml:space="preserve"> </w:t>
      </w:r>
      <w:r w:rsidR="005C4000">
        <w:fldChar w:fldCharType="begin"/>
      </w:r>
      <w:r w:rsidR="005C4000">
        <w:instrText xml:space="preserve"> ADDIN ZOTERO_ITEM CSL_CITATION {"citationID":"QmOstAyR","properties":{"formattedCitation":"(Brown et al., 2004)","plainCitation":"(Brown et al., 2004)","noteIndex":0},"citationItems":[{"id":241,"uris":["http://zotero.org/users/6403124/items/PUAR4F5B"],"itemData":{"id":241,"type":"article-journal","abstract":"Metabolism provides a basis for using ﬁrst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dynamics.","container-title":"Ecology","DOI":"10.1890/03-9000","ISSN":"0012-9658","issue":"7","journalAbbreviation":"Ecology","language":"en","page":"1771-1789","source":"DOI.org (Crossref)","title":"Toward a metabolic theory of ecology","volume":"85","author":[{"family":"Brown","given":"James H."},{"family":"Gillooly","given":"James F."},{"family":"Allen","given":"Andrew P."},{"family":"Savage","given":"Van M."},{"family":"West","given":"Geoffrey B."}],"issued":{"date-parts":[["2004",7]]}}}],"schema":"https://github.com/citation-style-language/schema/raw/master/csl-citation.json"} </w:instrText>
      </w:r>
      <w:r w:rsidR="005C4000">
        <w:fldChar w:fldCharType="separate"/>
      </w:r>
      <w:r w:rsidR="005C4000" w:rsidRPr="005C4000">
        <w:rPr>
          <w:rFonts w:ascii="Calibri" w:hAnsi="Calibri" w:cs="Calibri"/>
        </w:rPr>
        <w:t>(Brown et al., 2004)</w:t>
      </w:r>
      <w:r w:rsidR="005C4000">
        <w:fldChar w:fldCharType="end"/>
      </w:r>
      <w:r w:rsidR="0080512A">
        <w:t>.</w:t>
      </w:r>
      <w:r w:rsidR="00A30BC8">
        <w:t xml:space="preserve"> Due to strong collinearity between clay, silt, sand fractions, and D50 (|r| &gt; 0.7), D50 was selected as the sole indicator of sediment granulometry.</w:t>
      </w:r>
      <w:r w:rsidR="000258C2">
        <w:t xml:space="preserve"> </w:t>
      </w:r>
      <w:r w:rsidR="00AF5636">
        <w:t xml:space="preserve">Porosity and TN were highly correlated (r &gt; 0.7). Since </w:t>
      </w:r>
      <w:r w:rsidR="005C4000">
        <w:t xml:space="preserve">other </w:t>
      </w:r>
      <w:r w:rsidR="00FC7E1C">
        <w:t xml:space="preserve">geochemical </w:t>
      </w:r>
      <w:r w:rsidR="005C4000">
        <w:t xml:space="preserve">indicators, such as </w:t>
      </w:r>
      <w:r w:rsidR="00AF5636">
        <w:t>CN</w:t>
      </w:r>
      <w:r w:rsidR="005C4000">
        <w:t xml:space="preserve"> and Chla, </w:t>
      </w:r>
      <w:r w:rsidR="00AF5636">
        <w:t>also indicate organic matter quality</w:t>
      </w:r>
      <w:r w:rsidR="00EB46AB">
        <w:t xml:space="preserve"> </w:t>
      </w:r>
      <w:r w:rsidR="001B4B43">
        <w:fldChar w:fldCharType="begin"/>
      </w:r>
      <w:r w:rsidR="001B4B43">
        <w:instrText xml:space="preserve"> ADDIN ZOTERO_ITEM CSL_CITATION {"citationID":"GY4wbspG","properties":{"formattedCitation":"(Campany\\uc0\\u224{}-Llovet et al., 2017)","plainCitation":"(Campanyà-Llovet et al., 2017)","noteIndex":0},"citationItems":[{"id":255,"uris":["http://zotero.org/users/6403124/items/62PWH6JY"],"itemData":{"id":255,"type":"article-journal","abstract":"Current knowledge on the role of food for benthic communities and associated food webs focuses on quantity of available organic matter; however, the few studies that specifically address food quality show significant potential influences on food web and community structure. We examine current understanding of food quality and consider its contribution to regulating benthic ecosystems. By assembling data from the literature we found that, whereas food quantity increases benthic stocks (i.e., abundances), various trophic groups respond differently to quality parameters, suggesting that food quality can alter benthic trophic structure substantially. Moreover, contrasting ecosystems respond differently to food quantity and quality inputs. Based on our literature review we find that, for many highly productive coastal marine ecosystems (coral reefs, seagrass meadows, kelp forests), the detrital compartment represents the most important primary food source because low nutritional value (i.e., hard skeleton, lignin, deterrent substances, etc.) often characterizes this high productivity. Strong seasonality in the flux of organic matter, such as in polar ecosystems, results in food webs based on relatively consistent but often poorer quality food sources (i.e., “food banks”). Benthic community structure may shift dramatically in food-poor deep-sea ecosystems where otherwise rare species become dominant in response to food pulses. These ecosystems appear to respond more strongly than other benthic ecosystems to quantity and quality of food input. In deep-sea chemosynthetic environments, high food quantity and quality fuel benthic communities through resource partitioning of specialized chemosynthesis-based food sources. Lastly, we argue that food quality may have significant implications for benthic ecosystem functioning and services (e.g., bioturbation, nutrient fluxes, organic carbon preservation), particularly in the context of global warming. These implications point to several key gaps and opportunities that future food web studies should consider by applying knowledge gained in aquaculture to field studies, understanding the mechanisms for particle selection within the detrital compartment, and better understanding how rising temperatures and ocean acidification impact ecosystem functioning through changes in food quality.","container-title":"Progress in Oceanography","DOI":"10.1016/j.pocean.2017.07.006","ISSN":"0079-6611","journalAbbreviation":"Progress in Oceanography","language":"en","page":"240-251","source":"ScienceDirect","title":"Rethinking the importance of food quality in marine benthic food webs","volume":"156","author":[{"family":"Campanyà-Llovet","given":"Neus"},{"family":"Snelgrove","given":"Paul V. R."},{"family":"Parrish","given":"Christopher C."}],"issued":{"date-parts":[["2017",8,1]]}}}],"schema":"https://github.com/citation-style-language/schema/raw/master/csl-citation.json"} </w:instrText>
      </w:r>
      <w:r w:rsidR="001B4B43">
        <w:fldChar w:fldCharType="separate"/>
      </w:r>
      <w:r w:rsidR="001B4B43" w:rsidRPr="001B4B43">
        <w:rPr>
          <w:rFonts w:ascii="Calibri" w:hAnsi="Calibri" w:cs="Calibri"/>
          <w:szCs w:val="24"/>
        </w:rPr>
        <w:t>(Campanyà-Llovet et al., 2017)</w:t>
      </w:r>
      <w:r w:rsidR="001B4B43">
        <w:fldChar w:fldCharType="end"/>
      </w:r>
      <w:r w:rsidR="00AF5636">
        <w:t>, TN was excluded</w:t>
      </w:r>
      <w:r w:rsidR="005C4000">
        <w:t xml:space="preserve"> in later analyses</w:t>
      </w:r>
      <w:r w:rsidR="00FE5EDA">
        <w:rPr>
          <w:rFonts w:hint="eastAsia"/>
        </w:rPr>
        <w:t>.</w:t>
      </w:r>
      <w:r w:rsidR="00FE5EDA">
        <w:t xml:space="preserve"> </w:t>
      </w:r>
      <w:r w:rsidR="005C4000">
        <w:rPr>
          <w:rFonts w:cstheme="minorHAnsi"/>
        </w:rPr>
        <w:t>δ</w:t>
      </w:r>
      <w:r w:rsidR="005C4000" w:rsidRPr="005C4000">
        <w:rPr>
          <w:rFonts w:cstheme="minorHAnsi"/>
          <w:vertAlign w:val="superscript"/>
        </w:rPr>
        <w:t>13</w:t>
      </w:r>
      <w:r w:rsidR="005C4000">
        <w:rPr>
          <w:rFonts w:hint="eastAsia"/>
        </w:rPr>
        <w:t>C</w:t>
      </w:r>
      <w:r w:rsidR="005C4000">
        <w:t xml:space="preserve"> and Chla were negatively correlated (r = </w:t>
      </w:r>
      <w:r w:rsidR="00AE0199">
        <w:rPr>
          <w:rFonts w:hint="eastAsia"/>
        </w:rPr>
        <w:t>-</w:t>
      </w:r>
      <w:r w:rsidR="00AE0199">
        <w:t>0.76</w:t>
      </w:r>
      <w:r w:rsidR="005C4000">
        <w:t>)</w:t>
      </w:r>
      <w:r w:rsidR="001B4B43">
        <w:t>.</w:t>
      </w:r>
      <w:r w:rsidR="00F605FB">
        <w:t xml:space="preserve"> Chla was </w:t>
      </w:r>
      <w:r w:rsidR="001B4B43">
        <w:t>included for further</w:t>
      </w:r>
      <w:r w:rsidR="00F605FB">
        <w:t xml:space="preserve"> analyses since </w:t>
      </w:r>
      <w:r w:rsidR="0052687C">
        <w:rPr>
          <w:rFonts w:cstheme="minorHAnsi"/>
        </w:rPr>
        <w:t>δ</w:t>
      </w:r>
      <w:r w:rsidR="0052687C" w:rsidRPr="005C4000">
        <w:rPr>
          <w:rFonts w:cstheme="minorHAnsi"/>
          <w:vertAlign w:val="superscript"/>
        </w:rPr>
        <w:t>13</w:t>
      </w:r>
      <w:r w:rsidR="0052687C">
        <w:rPr>
          <w:rFonts w:hint="eastAsia"/>
        </w:rPr>
        <w:t>C</w:t>
      </w:r>
      <w:r w:rsidR="0052687C">
        <w:t xml:space="preserve"> signatures </w:t>
      </w:r>
      <w:r w:rsidR="0052687C">
        <w:rPr>
          <w:rFonts w:hint="eastAsia"/>
        </w:rPr>
        <w:t>m</w:t>
      </w:r>
      <w:r w:rsidR="0052687C">
        <w:t xml:space="preserve">ay be confounded by </w:t>
      </w:r>
      <w:r w:rsidR="002506A6">
        <w:t>marine autochthonous carbon</w:t>
      </w:r>
      <w:r w:rsidR="0052687C">
        <w:t xml:space="preserve">, modern terrestrial carbon, </w:t>
      </w:r>
      <w:r w:rsidR="002506A6">
        <w:t xml:space="preserve">and petrogenic carbon </w:t>
      </w:r>
      <w:r w:rsidR="001B4B43">
        <w:t xml:space="preserve">in the </w:t>
      </w:r>
      <w:r w:rsidR="00C90BEE">
        <w:t xml:space="preserve">present </w:t>
      </w:r>
      <w:r w:rsidR="001B4B43">
        <w:t xml:space="preserve">study area </w:t>
      </w:r>
      <w:r w:rsidR="0052687C">
        <w:fldChar w:fldCharType="begin"/>
      </w:r>
      <w:r w:rsidR="00C613C8">
        <w:instrText xml:space="preserve"> ADDIN ZOTERO_ITEM CSL_CITATION {"citationID":"hLSu6BZo","properties":{"formattedCitation":"(Carter et al., 2012; Kao et al., 2006)","plainCitation":"(Carter et al., 2012; Kao et al., 2006)","noteIndex":0},"citationItems":[{"id":10180,"uris":["http://zotero.org/users/6403124/items/9VJNGBDM"],"itemData":{"id":10180,"type":"article-journal","abstract":"Subsea fiber-optic telecommunication cables can break under fast sediment flows that travel 100s of kilometers through the deep ocean in response to earthquakes and submarine landslides. Similar flows are inferred to form from major river floods whose sediment-laden waters plunge and travel along the seabed. However, the complex initiation of flood-related flows and their hazard potential have not been observed until now. Here we use cable fault data from the Gaoping Canyon/Manila Trench off Taiwan to show that a major river flood, formed during Typhoon Morakot (2009), generated two, long run-out, destructive sediment flows; one during peak flood and the other 3 days later. The latter flow was more damaging with speeds and run-out similar to that of landslide-triggered turbidity currents formed in the same catchment. If the second flow was due to remobilized canyon sediment, it occurred during low earthquake (&gt;Mw 2.0) activity, suggesting other triggering mechanisms.","container-title":"Geophysical Research Letters","DOI":"10.1029/2012GL051172","ISSN":"1944-8007","issue":"12","language":"en","note":"_eprint: https://onlinelibrary.wiley.com/doi/pdf/10.1029/2012GL051172","source":"Wiley Online Library","title":"Near-synchronous and delayed initiation of long run-out submarine sediment flows from a record-breaking river flood, offshore Taiwan","URL":"https://onlinelibrary.wiley.com/doi/abs/10.1029/2012GL051172","volume":"39","author":[{"family":"Carter","given":"L."},{"family":"Milliman","given":"J. D."},{"family":"Talling","given":"P. J."},{"family":"Gavey","given":"R."},{"family":"Wynn","given":"R. B."}],"accessed":{"date-parts":[["2023",4,14]]},"issued":{"date-parts":[["2012"]]}}},{"id":1086,"uris":["http://zotero.org/users/6403124/items/Q27UTJS4"],"itemData":{"id":1086,"type":"article-journal","container-title":"Continental Shelf Research","DOI":"10.1016/j.csr.2006.07.030","ISSN":"02784343","issue":"20","journalAbbreviation":"Continental Shelf Research","language":"en","page":"2520-2537","source":"DOI.org (Crossref)","title":"Efficient trapping of organic carbon in sediments on the continental margin with high fluvial sediment input off southwestern Taiwan","volume":"26","author":[{"family":"Kao","given":"Shuh-Ji"},{"family":"Shiah","given":"Fuh-Kwo"},{"family":"Wang","given":"Chung-Ho"},{"family":"Liu","given":"Kon-Kee"}],"issued":{"date-parts":[["2006",12]]}}}],"schema":"https://github.com/citation-style-language/schema/raw/master/csl-citation.json"} </w:instrText>
      </w:r>
      <w:r w:rsidR="0052687C">
        <w:fldChar w:fldCharType="separate"/>
      </w:r>
      <w:r w:rsidR="0052687C" w:rsidRPr="0052687C">
        <w:rPr>
          <w:rFonts w:ascii="Calibri" w:hAnsi="Calibri" w:cs="Calibri"/>
        </w:rPr>
        <w:t>(Carter et al., 2012; Kao et al., 2006</w:t>
      </w:r>
      <w:r w:rsidR="00C769A0">
        <w:rPr>
          <w:rFonts w:ascii="Calibri" w:hAnsi="Calibri" w:cs="Calibri"/>
        </w:rPr>
        <w:t>, also see discussion</w:t>
      </w:r>
      <w:r w:rsidR="0052687C" w:rsidRPr="0052687C">
        <w:rPr>
          <w:rFonts w:ascii="Calibri" w:hAnsi="Calibri" w:cs="Calibri"/>
        </w:rPr>
        <w:t>)</w:t>
      </w:r>
      <w:r w:rsidR="0052687C">
        <w:fldChar w:fldCharType="end"/>
      </w:r>
      <w:r w:rsidR="005C4000">
        <w:t xml:space="preserve">. </w:t>
      </w:r>
      <w:r w:rsidR="00A30BC8">
        <w:t xml:space="preserve">The </w:t>
      </w:r>
      <w:r w:rsidR="009778EF">
        <w:t xml:space="preserve">resulting </w:t>
      </w:r>
      <w:r w:rsidR="00A30BC8">
        <w:t xml:space="preserve">variables were </w:t>
      </w:r>
      <w:r w:rsidR="009778EF" w:rsidRPr="009778EF">
        <w:rPr>
          <w:rFonts w:hint="eastAsia"/>
          <w:i/>
        </w:rPr>
        <w:t>T</w:t>
      </w:r>
      <w:r w:rsidR="009778EF" w:rsidRPr="009778EF">
        <w:rPr>
          <w:i/>
        </w:rPr>
        <w:t>emp</w:t>
      </w:r>
      <w:r w:rsidR="009778EF">
        <w:t xml:space="preserve">, </w:t>
      </w:r>
      <w:r w:rsidR="009778EF" w:rsidRPr="009778EF">
        <w:rPr>
          <w:i/>
        </w:rPr>
        <w:t>Fluo</w:t>
      </w:r>
      <w:r w:rsidR="009778EF">
        <w:t xml:space="preserve">, </w:t>
      </w:r>
      <w:r w:rsidR="009778EF" w:rsidRPr="009778EF">
        <w:rPr>
          <w:i/>
        </w:rPr>
        <w:t>Por</w:t>
      </w:r>
      <w:r w:rsidR="009778EF">
        <w:t xml:space="preserve">, </w:t>
      </w:r>
      <w:r w:rsidR="000258C2" w:rsidRPr="000258C2">
        <w:rPr>
          <w:i/>
        </w:rPr>
        <w:t>D50</w:t>
      </w:r>
      <w:r w:rsidR="000258C2">
        <w:t xml:space="preserve">, </w:t>
      </w:r>
      <w:r w:rsidR="009778EF" w:rsidRPr="009778EF">
        <w:rPr>
          <w:i/>
        </w:rPr>
        <w:t>TOC</w:t>
      </w:r>
      <w:r w:rsidR="009778EF">
        <w:t xml:space="preserve">, </w:t>
      </w:r>
      <w:r w:rsidR="009778EF" w:rsidRPr="00AF5636">
        <w:rPr>
          <w:i/>
        </w:rPr>
        <w:t>CN</w:t>
      </w:r>
      <w:r w:rsidR="009778EF">
        <w:t xml:space="preserve">, and </w:t>
      </w:r>
      <w:r w:rsidR="009778EF" w:rsidRPr="00AF5636">
        <w:rPr>
          <w:i/>
        </w:rPr>
        <w:t>Chla</w:t>
      </w:r>
      <w:r w:rsidR="009778EF">
        <w:t xml:space="preserve">. The variables </w:t>
      </w:r>
      <w:r w:rsidR="00FC7E1C">
        <w:t xml:space="preserve">were </w:t>
      </w:r>
      <w:r w:rsidR="00A30BC8">
        <w:t>centered and scaled to unit variance.</w:t>
      </w:r>
      <w:r w:rsidR="00B32EEB">
        <w:t xml:space="preserve"> Two axes of the principal component analysis (PCA) were extracted to visualize the environmental difference among sampling sites.</w:t>
      </w:r>
    </w:p>
    <w:p w14:paraId="074FD1A4" w14:textId="5DD58D2F" w:rsidR="009043AB" w:rsidRDefault="009043AB" w:rsidP="0017616C">
      <w:r>
        <w:t xml:space="preserve">Macrofauna abundance and biomass assemblages were Box-Cox-chord transformed </w:t>
      </w:r>
      <w:r>
        <w:fldChar w:fldCharType="begin"/>
      </w:r>
      <w:r>
        <w:instrText xml:space="preserve"> ADDIN ZOTERO_ITEM CSL_CITATION {"citationID":"NBsQSjRB","properties":{"formattedCitation":"(Legendre and Borcard, 2018)","plainCitation":"(Legendre and Borcard, 2018)","noteIndex":0},"citationItems":[{"id":11009,"uris":["http://zotero.org/users/6403124/items/YD7V2Y8Q"],"itemData":{"id":11009,"type":"article-journal","abstract":"In studies of spatial or temporal beta diversity, community composition data, often containing many zeros, must be transformed in some way before they are analysed by multivariate methods of data analysis. Data are transformed to reduce the skewness of species distributions and make dissimilarities double-zero asymmetrical. Criteria have recently been proposed to determine which dissimilarity functions (or the corresponding data transformations) can be used for beta diversity assessment. The chord transformation is often used as the preliminary transformation for frequency data. When the Euclidean distance is computed on chord-transformed data, a chord dissimilarity matrix D is produced, which obeys the proposed criteria. The Hellinger transformation, i.e. the chord transformation applied to square-root transformed frequencies, is also often used with community composition data prior to multivariate analyses; it leads to the Hellinger dissimilarity, which is another widely used D function in beta diversity studies. Among the data transformations often used in simple or multivariate data analysis, the Box–Cox method provides a useful series of transformations to make data distributions more symmetrical, where exponent 1 is the absence of a transformation, exponent 0.5 is the square-root, exponent 0.25 is the fourth-root, and the log transformation is the limit of the Box–Cox function corresponding to exponent 0. Combining the two previous ideas, this paper proposes to combine any transformation of the Box–Cox family with exponent in the [0,1] range with the chord transformation. In particular, one can compute the loge(y + 1) transformation of a community composition (or other frequency) data table and follow with a chord transformation. A D matrix can be computed from the doubly-transformed data. The transformations and D functions in that family inherit the properties of the chord dissimilarity, and this ensures that they all follow the necessary criteria for beta diversity assessment that have recently been proposed.","container-title":"Ecography","DOI":"10.1111/ecog.03498","ISSN":"1600-0587","issue":"11","language":"en","license":"© 2018 The Authors","note":"_eprint: https://onlinelibrary.wiley.com/doi/pdf/10.1111/ecog.03498","page":"1820-1824","source":"Wiley Online Library","title":"Box–Cox-chord transformations for community composition data prior to beta diversity analysis","volume":"41","author":[{"family":"Legendre","given":"Pierre"},{"family":"Borcard","given":"Daniel"}],"issued":{"date-parts":[["2018"]]}}}],"schema":"https://github.com/citation-style-language/schema/raw/master/csl-citation.json"} </w:instrText>
      </w:r>
      <w:r>
        <w:fldChar w:fldCharType="separate"/>
      </w:r>
      <w:r w:rsidRPr="009043AB">
        <w:rPr>
          <w:rFonts w:ascii="Calibri" w:hAnsi="Calibri" w:cs="Calibri"/>
        </w:rPr>
        <w:t>(Legendre and Borcard, 2018)</w:t>
      </w:r>
      <w:r>
        <w:fldChar w:fldCharType="end"/>
      </w:r>
      <w:r>
        <w:t xml:space="preserve">. </w:t>
      </w:r>
      <w:r w:rsidR="00AA67C5">
        <w:rPr>
          <w:rFonts w:hint="eastAsia"/>
        </w:rPr>
        <w:t>W</w:t>
      </w:r>
      <w:r w:rsidR="00AA67C5">
        <w:t xml:space="preserve">hile Hellinger transformation strictly takes the exponent of 0.5 on ecological data before chord transformation, Box-Cox-chord transformation </w:t>
      </w:r>
      <w:r w:rsidR="00561DBA">
        <w:t xml:space="preserve">is more flexible, </w:t>
      </w:r>
      <w:r w:rsidR="00AA67C5">
        <w:t>provid</w:t>
      </w:r>
      <w:r w:rsidR="00561DBA">
        <w:t xml:space="preserve">ing </w:t>
      </w:r>
      <w:r w:rsidR="00AA67C5">
        <w:t>a series of exponents for ecologists to choose from.</w:t>
      </w:r>
      <w:r w:rsidR="008A6549">
        <w:t xml:space="preserve"> Using </w:t>
      </w:r>
      <w:r w:rsidR="00E3642C">
        <w:t xml:space="preserve">the </w:t>
      </w:r>
      <w:r w:rsidR="008A6549">
        <w:t>Dagnelie</w:t>
      </w:r>
      <w:r w:rsidR="00E3642C">
        <w:t xml:space="preserve"> </w:t>
      </w:r>
      <w:r w:rsidR="008A6549">
        <w:t xml:space="preserve">test, the exponent that reaches multinormality of </w:t>
      </w:r>
      <w:r w:rsidR="00E3642C">
        <w:t xml:space="preserve">the Mahalanobis generalized </w:t>
      </w:r>
      <w:r w:rsidR="008A6549">
        <w:t>distance</w:t>
      </w:r>
      <w:r w:rsidR="00FB1738">
        <w:t xml:space="preserve">, i.e., the distance between each object and the multivariate mean, </w:t>
      </w:r>
      <w:r w:rsidR="008A6549">
        <w:t xml:space="preserve">can be sought </w:t>
      </w:r>
      <w:r w:rsidR="008A6549">
        <w:fldChar w:fldCharType="begin"/>
      </w:r>
      <w:r w:rsidR="008A6549">
        <w:instrText xml:space="preserve"> ADDIN ZOTERO_ITEM CSL_CITATION {"citationID":"14A3F1Z5","properties":{"formattedCitation":"(Legendre and Borcard, 2018)","plainCitation":"(Legendre and Borcard, 2018)","noteIndex":0},"citationItems":[{"id":11009,"uris":["http://zotero.org/users/6403124/items/YD7V2Y8Q"],"itemData":{"id":11009,"type":"article-journal","abstract":"In studies of spatial or temporal beta diversity, community composition data, often containing many zeros, must be transformed in some way before they are analysed by multivariate methods of data analysis. Data are transformed to reduce the skewness of species distributions and make dissimilarities double-zero asymmetrical. Criteria have recently been proposed to determine which dissimilarity functions (or the corresponding data transformations) can be used for beta diversity assessment. The chord transformation is often used as the preliminary transformation for frequency data. When the Euclidean distance is computed on chord-transformed data, a chord dissimilarity matrix D is produced, which obeys the proposed criteria. The Hellinger transformation, i.e. the chord transformation applied to square-root transformed frequencies, is also often used with community composition data prior to multivariate analyses; it leads to the Hellinger dissimilarity, which is another widely used D function in beta diversity studies. Among the data transformations often used in simple or multivariate data analysis, the Box–Cox method provides a useful series of transformations to make data distributions more symmetrical, where exponent 1 is the absence of a transformation, exponent 0.5 is the square-root, exponent 0.25 is the fourth-root, and the log transformation is the limit of the Box–Cox function corresponding to exponent 0. Combining the two previous ideas, this paper proposes to combine any transformation of the Box–Cox family with exponent in the [0,1] range with the chord transformation. In particular, one can compute the loge(y + 1) transformation of a community composition (or other frequency) data table and follow with a chord transformation. A D matrix can be computed from the doubly-transformed data. The transformations and D functions in that family inherit the properties of the chord dissimilarity, and this ensures that they all follow the necessary criteria for beta diversity assessment that have recently been proposed.","container-title":"Ecography","DOI":"10.1111/ecog.03498","ISSN":"1600-0587","issue":"11","language":"en","license":"© 2018 The Authors","note":"_eprint: https://onlinelibrary.wiley.com/doi/pdf/10.1111/ecog.03498","page":"1820-1824","source":"Wiley Online Library","title":"Box–Cox-chord transformations for community composition data prior to beta diversity analysis","volume":"41","author":[{"family":"Legendre","given":"Pierre"},{"family":"Borcard","given":"Daniel"}],"issued":{"date-parts":[["2018"]]}}}],"schema":"https://github.com/citation-style-language/schema/raw/master/csl-citation.json"} </w:instrText>
      </w:r>
      <w:r w:rsidR="008A6549">
        <w:fldChar w:fldCharType="separate"/>
      </w:r>
      <w:r w:rsidR="008A6549" w:rsidRPr="008A6549">
        <w:rPr>
          <w:rFonts w:ascii="Calibri" w:hAnsi="Calibri" w:cs="Calibri"/>
        </w:rPr>
        <w:t>(Legendre and Borcard, 2018)</w:t>
      </w:r>
      <w:r w:rsidR="008A6549">
        <w:fldChar w:fldCharType="end"/>
      </w:r>
      <w:r w:rsidR="008A6549">
        <w:t>. In this study, the exponent for macrofauna abundance and biomass compositions were 0.3 and 0.1, respectively.</w:t>
      </w:r>
      <w:r>
        <w:t xml:space="preserve"> </w:t>
      </w:r>
      <w:r w:rsidR="008A6549">
        <w:t>Euclidean distance w</w:t>
      </w:r>
      <w:r w:rsidR="00E3642C">
        <w:t>as</w:t>
      </w:r>
      <w:r w:rsidR="008A6549">
        <w:t xml:space="preserve"> then used to calculate between-sample pairwise distances.</w:t>
      </w:r>
      <w:r w:rsidR="00B66926">
        <w:t xml:space="preserve"> </w:t>
      </w:r>
      <w:r w:rsidR="001F2CA9">
        <w:t xml:space="preserve">The first two axes of the principal component analysis (PCA) were used to </w:t>
      </w:r>
      <w:r w:rsidR="001F2CA9">
        <w:lastRenderedPageBreak/>
        <w:t>visualize the compositional difference between samples.</w:t>
      </w:r>
      <w:r w:rsidR="001F2CA9">
        <w:rPr>
          <w:rFonts w:hint="eastAsia"/>
        </w:rPr>
        <w:t xml:space="preserve"> </w:t>
      </w:r>
      <w:r w:rsidR="001F2CA9">
        <w:t xml:space="preserve">Only taxa with 40% of their variation explained by the first two PCs were shown. </w:t>
      </w:r>
      <w:r w:rsidR="00B66926">
        <w:t xml:space="preserve">On the other hand, macrofauna abundance and biomass were log10 transformed, while </w:t>
      </w:r>
      <w:r w:rsidR="00014B2B">
        <w:t>TOU</w:t>
      </w:r>
      <w:r w:rsidR="00B66926">
        <w:t xml:space="preserve"> were not., while scatterplots were drawn to show spatiotemporal variations between stations.</w:t>
      </w:r>
    </w:p>
    <w:p w14:paraId="14AC0F34" w14:textId="44B23769" w:rsidR="00B66926" w:rsidRDefault="00E3642C" w:rsidP="0017616C">
      <w:r>
        <w:t xml:space="preserve">Water depth, </w:t>
      </w:r>
      <w:r w:rsidR="008B1472">
        <w:t>DRM</w:t>
      </w:r>
      <w:r>
        <w:t xml:space="preserve">, and Cruise </w:t>
      </w:r>
      <w:r w:rsidR="00B66926">
        <w:t xml:space="preserve">with all possible two-way interactions </w:t>
      </w:r>
      <w:r>
        <w:t>were fitted on (1) m</w:t>
      </w:r>
      <w:r w:rsidR="008C166F">
        <w:t xml:space="preserve">acrofauna </w:t>
      </w:r>
      <w:r>
        <w:t>abundance composition, (2) biomass composition</w:t>
      </w:r>
      <w:r w:rsidR="008C166F">
        <w:t xml:space="preserve">, </w:t>
      </w:r>
      <w:r>
        <w:t xml:space="preserve">(3) </w:t>
      </w:r>
      <w:r w:rsidR="008C166F">
        <w:t xml:space="preserve">abundance, </w:t>
      </w:r>
      <w:r>
        <w:t xml:space="preserve">(4) </w:t>
      </w:r>
      <w:r w:rsidR="008C166F">
        <w:t xml:space="preserve">biomass, and </w:t>
      </w:r>
      <w:r>
        <w:t xml:space="preserve">(5) </w:t>
      </w:r>
      <w:r w:rsidR="000447C5">
        <w:t>TOU</w:t>
      </w:r>
      <w:r w:rsidR="008C166F">
        <w:t xml:space="preserve"> </w:t>
      </w:r>
      <w:r>
        <w:t>to examine spatiotemporal patterns</w:t>
      </w:r>
      <w:r w:rsidR="00030ED6">
        <w:t>.</w:t>
      </w:r>
      <w:r w:rsidR="00DF40C4">
        <w:t xml:space="preserve"> We used </w:t>
      </w:r>
      <w:r w:rsidR="00785A15">
        <w:t xml:space="preserve"> </w:t>
      </w:r>
      <w:r w:rsidR="00DF40C4">
        <w:t xml:space="preserve">PERMANOVA with 9999 permutations </w:t>
      </w:r>
      <w:r w:rsidR="00DF40C4">
        <w:rPr>
          <w:rFonts w:hint="eastAsia"/>
        </w:rPr>
        <w:t>o</w:t>
      </w:r>
      <w:r w:rsidR="00DF40C4">
        <w:t>n m</w:t>
      </w:r>
      <w:r w:rsidR="0067743C">
        <w:t>acrofauna</w:t>
      </w:r>
      <w:r w:rsidR="00FE5EDA">
        <w:t xml:space="preserve"> </w:t>
      </w:r>
      <w:r w:rsidR="00A6732E">
        <w:t xml:space="preserve">abundance and biomass </w:t>
      </w:r>
      <w:r w:rsidR="00FE5EDA">
        <w:t>composition</w:t>
      </w:r>
      <w:r w:rsidR="0067743C">
        <w:t>s</w:t>
      </w:r>
      <w:r w:rsidR="00FE5EDA">
        <w:t xml:space="preserve"> </w:t>
      </w:r>
      <w:r w:rsidR="00B66926">
        <w:fldChar w:fldCharType="begin"/>
      </w:r>
      <w:r w:rsidR="00B66926">
        <w:instrText xml:space="preserve"> ADDIN ZOTERO_ITEM CSL_CITATION {"citationID":"dCmXFwc6","properties":{"formattedCitation":"(Anderson, 2017)","plainCitation":"(Anderson, 2017)","noteIndex":0},"citationItems":[{"id":1073,"uris":["http://zotero.org/users/6403124/items/AS7XL7CK"],"itemData":{"id":1073,"type":"chapter","abstract":"Permutational multivariate analysis of variance (PERMANOVA) is a geometric partitioning of variation across a multivariate data cloud, defined explicitly in the space of a chosen dissimilarity measure, in response to one or more factors in an analysis of variance design. Statistical inferences are made in a distribution-free setting using permutational algorithms. The PERMANOVA framework is readily extended to accommodate random effects, hierarchical models, mixed models, quantitative covariates, repeated measures, unbalanced and/or asymmetrical designs, and, most recently, heterogeneous dispersions among groups. Plots to accompany PERMANOVA models include ordinations of either fitted or residualized distance matrices, including multivariate analogues to main effects and interaction plots, to visualize results.","container-title":"Wiley StatsRef: Statistics Reference Online","ISBN":"978-1-118-44511-2","language":"en","note":"_eprint: https://onlinelibrary.wiley.com/doi/pdf/10.1002/9781118445112.stat07841\nDOI: 10.1002/9781118445112.stat07841","page":"1-15","publisher":"American Cancer Society","source":"Wiley Online Library","title":"Permutational Multivariate Analysis of Variance (PERMANOVA)","URL":"https://onlinelibrary.wiley.com/doi/abs/10.1002/9781118445112.stat07841","author":[{"family":"Anderson","given":"Marti J."}],"accessed":{"date-parts":[["2021",9,22]]},"issued":{"date-parts":[["2017"]]}}}],"schema":"https://github.com/citation-style-language/schema/raw/master/csl-citation.json"} </w:instrText>
      </w:r>
      <w:r w:rsidR="00B66926">
        <w:fldChar w:fldCharType="separate"/>
      </w:r>
      <w:r w:rsidR="00B66926" w:rsidRPr="00B66926">
        <w:rPr>
          <w:rFonts w:ascii="Calibri" w:hAnsi="Calibri" w:cs="Calibri"/>
        </w:rPr>
        <w:t>(Anderson, 2017)</w:t>
      </w:r>
      <w:r w:rsidR="00B66926">
        <w:fldChar w:fldCharType="end"/>
      </w:r>
      <w:r w:rsidR="0067743C">
        <w:t xml:space="preserve">, while </w:t>
      </w:r>
      <w:r w:rsidR="00DF40C4">
        <w:t>we fit simple linear regression</w:t>
      </w:r>
      <w:r w:rsidR="00530514">
        <w:t>s</w:t>
      </w:r>
      <w:r w:rsidR="00DF40C4">
        <w:t xml:space="preserve"> on </w:t>
      </w:r>
      <w:r w:rsidR="0067743C">
        <w:t xml:space="preserve">macrofauna abundance, biomass, and </w:t>
      </w:r>
      <w:r w:rsidR="00B32EEB">
        <w:t>sediment TOU</w:t>
      </w:r>
      <w:r w:rsidR="0067743C">
        <w:t xml:space="preserve"> under </w:t>
      </w:r>
      <w:r w:rsidR="00FE5EDA">
        <w:t>the multimodel inference framework</w:t>
      </w:r>
      <w:r w:rsidR="00B66926">
        <w:t>.</w:t>
      </w:r>
      <w:r w:rsidR="009B0A91" w:rsidRPr="009B0A91">
        <w:t xml:space="preserve"> </w:t>
      </w:r>
      <w:r w:rsidR="00A22B49">
        <w:t>Preventing arbitrar</w:t>
      </w:r>
      <w:r w:rsidR="00C23574">
        <w:t xml:space="preserve">ily </w:t>
      </w:r>
      <w:r w:rsidR="0046700D">
        <w:t xml:space="preserve">selecting </w:t>
      </w:r>
      <w:r w:rsidR="00C23574">
        <w:t>a single model</w:t>
      </w:r>
      <w:r w:rsidR="0046700D">
        <w:rPr>
          <w:rFonts w:hint="eastAsia"/>
        </w:rPr>
        <w:t xml:space="preserve"> f</w:t>
      </w:r>
      <w:r w:rsidR="0046700D">
        <w:t>or inference</w:t>
      </w:r>
      <w:r w:rsidR="00A22B49">
        <w:t>, t</w:t>
      </w:r>
      <w:r w:rsidR="009B0A91" w:rsidRPr="009B0A91">
        <w:t>he multimodel</w:t>
      </w:r>
      <w:r w:rsidR="009B0A91">
        <w:t xml:space="preserve"> inference</w:t>
      </w:r>
      <w:r w:rsidR="009B0A91" w:rsidRPr="009B0A91">
        <w:t xml:space="preserve"> framework</w:t>
      </w:r>
      <w:r w:rsidR="001E4CBB" w:rsidRPr="001E4CBB">
        <w:t xml:space="preserve"> </w:t>
      </w:r>
      <w:r w:rsidR="001E4CBB" w:rsidRPr="009B0A91">
        <w:t>us</w:t>
      </w:r>
      <w:r w:rsidR="001E4CBB">
        <w:t>es</w:t>
      </w:r>
      <w:r w:rsidR="001E4CBB" w:rsidRPr="009B0A91">
        <w:t xml:space="preserve"> information theoretic approaches</w:t>
      </w:r>
      <w:r w:rsidR="000B09CB">
        <w:t xml:space="preserve"> to</w:t>
      </w:r>
      <w:r w:rsidR="009B0A91" w:rsidRPr="009B0A91">
        <w:t xml:space="preserve"> </w:t>
      </w:r>
      <w:r w:rsidR="000B09CB">
        <w:t xml:space="preserve">account </w:t>
      </w:r>
      <w:r w:rsidR="009B0A91" w:rsidRPr="009B0A91">
        <w:t>uncertainty</w:t>
      </w:r>
      <w:r w:rsidR="000B09CB">
        <w:t xml:space="preserve"> across several models</w:t>
      </w:r>
      <w:r w:rsidR="00FF6FE2">
        <w:t>, identifies competing models,</w:t>
      </w:r>
      <w:r w:rsidR="000B09CB">
        <w:t xml:space="preserve"> </w:t>
      </w:r>
      <w:r w:rsidR="009B0A91" w:rsidRPr="009B0A91">
        <w:t xml:space="preserve">and </w:t>
      </w:r>
      <w:r w:rsidR="00FF6FE2">
        <w:t xml:space="preserve">then </w:t>
      </w:r>
      <w:r w:rsidR="009B0A91" w:rsidRPr="009B0A91">
        <w:t xml:space="preserve">draws inferences from </w:t>
      </w:r>
      <w:r w:rsidR="000B09CB">
        <w:t xml:space="preserve">them </w:t>
      </w:r>
      <w:r w:rsidR="000B09CB">
        <w:fldChar w:fldCharType="begin"/>
      </w:r>
      <w:r w:rsidR="000B09CB">
        <w:instrText xml:space="preserve"> ADDIN ZOTERO_ITEM CSL_CITATION {"citationID":"PyzvS9i9","properties":{"formattedCitation":"(Burnham and Anderson, 2002)","plainCitation":"(Burnham and Anderson, 2002)","noteIndex":0},"citationItems":[{"id":1921,"uris":["http://zotero.org/users/6403124/items/ND9JE3H8"],"itemData":{"id":1921,"type":"book","edition":"2","ISBN":"978-0-387-22456-5","language":"EN","number-of-pages":"488","publisher":"Springer, New York, NY","title":"Model selection and multimodel inference: a practical information-theorectic approach","URL":"https://doi.org/10.1007/b97636","author":[{"family":"Burnham","given":"Kenneth P."},{"family":"Anderson","given":"David R."}],"issued":{"date-parts":[["2002"]]}}}],"schema":"https://github.com/citation-style-language/schema/raw/master/csl-citation.json"} </w:instrText>
      </w:r>
      <w:r w:rsidR="000B09CB">
        <w:fldChar w:fldCharType="separate"/>
      </w:r>
      <w:r w:rsidR="000B09CB" w:rsidRPr="000B09CB">
        <w:rPr>
          <w:rFonts w:ascii="Calibri" w:hAnsi="Calibri" w:cs="Calibri"/>
        </w:rPr>
        <w:t>(Burnham and Anderson, 2002)</w:t>
      </w:r>
      <w:r w:rsidR="000B09CB">
        <w:fldChar w:fldCharType="end"/>
      </w:r>
      <w:r w:rsidR="009B0A91" w:rsidRPr="009B0A91">
        <w:t>.</w:t>
      </w:r>
      <w:r w:rsidR="009B0A91">
        <w:t xml:space="preserve"> </w:t>
      </w:r>
      <w:r w:rsidR="0067743C">
        <w:t>W</w:t>
      </w:r>
      <w:r w:rsidR="00FE5EDA">
        <w:t xml:space="preserve">e sought all possible combinations of the explanatory variables and </w:t>
      </w:r>
      <w:r w:rsidR="00DA6271">
        <w:t xml:space="preserve">extracted an un-nested top model set </w:t>
      </w:r>
      <w:r w:rsidR="00FE5EDA">
        <w:t xml:space="preserve">with </w:t>
      </w:r>
      <w:r w:rsidR="009043AB">
        <w:rPr>
          <w:rFonts w:cstheme="minorHAnsi"/>
        </w:rPr>
        <w:t>Δ</w:t>
      </w:r>
      <w:r w:rsidR="00FE5EDA">
        <w:t xml:space="preserve">AICc </w:t>
      </w:r>
      <w:r w:rsidR="009043AB">
        <w:t>&lt;</w:t>
      </w:r>
      <w:r w:rsidR="00FE5EDA">
        <w:t xml:space="preserve"> 6 </w:t>
      </w:r>
      <w:r w:rsidR="00FE5EDA">
        <w:fldChar w:fldCharType="begin"/>
      </w:r>
      <w:r w:rsidR="00FE5EDA">
        <w:instrText xml:space="preserve"> ADDIN ZOTERO_ITEM CSL_CITATION {"citationID":"Hh30ZAxH","properties":{"formattedCitation":"(Richards, 2008, 2005)","plainCitation":"(Richards, 2008, 2005)","noteIndex":0},"citationItems":[{"id":11349,"uris":["http://zotero.org/users/6403124/items/97AI2NKU"],"itemData":{"id":11349,"type":"article-journal","abstract":"1 The ability to identify key ecological processes is important when solving applied problems. Increasingly, ecologists are adopting Akaike's information criterion (AIC) as a metric to help them assess and select among multiple process-based ecological models. Surprisingly, however, it is still unclear how best to incorporate AIC into the selection process in order to address the trade-off between maximizing the probability of retaining the most parsimonious model while minimizing the number of models retained. 2 Ecological count data are often observed to be overdispersed with respect to best-fitting models. Overdispersion is problematic when performing an AIC analysis, as it can result in selection of overly complex models which can lead to poor ecological inference. This paper describes and illustrates two approaches that deal effectively with overdispersion. The first approach involves modelling the causes of overdispersion implicitly using compound probability distributions. The second approach ignores the causes of overdispersion and uses quasi-AIC (QAIC) as a metric for model parsimony. 3 Simulations and a novel method that identifies the most parsimonious model are used to demonstrate the utility of the two overdispersion approaches within the context of two ecological examples. The first example addresses binomial data obtained from a study of fish survival (as related to habitat structure) and the second example addresses Poisson data obtained from a study of flower visitation by nectarivores. 4 Applying either overdispersion approach reduces the chance of selecting overly complex models, and both approaches result in very similar ecological inference. In addition, inference can be made more reliable by incorporating model nesting into the selection process (i.e. identifying which models are special cases of others), as it reduces the number of models selected without significantly reducing the probability of retaining the most parsimonious models. 5 Synthesis and applications. When data are overdispersed, inference can be improved by either modelling the causes of overdispersion or applying QAIC as a metric for model parsimony. Inference can also be improved by adopting a model filtering procedure based on how models are nested. The general simulation approach presented in this paper for identifying the most parsimonious model, as defined by information theory, should help to improve our understanding of the reliability of model selection when using AIC, and help the development of better selection rules.","container-title":"Journal of Applied Ecology","DOI":"10.1111/j.1365-2664.2007.01377.x","ISSN":"1365-2664","issue":"1","language":"en","note":"_eprint: https://onlinelibrary.wiley.com/doi/pdf/10.1111/j.1365-2664.2007.01377.x","page":"218-227","source":"Wiley Online Library","title":"Dealing with overdispersed count data in applied ecology","volume":"45","author":[{"family":"Richards","given":"Shane A."}],"issued":{"date-parts":[["2008"]]}}},{"id":11457,"uris":["http://zotero.org/users/6403124/items/VGZJTAMM"],"itemData":{"id":11457,"type":"article-journal","abstract":"Ecologists are increasingly applying model selection to their data analyses, primarily to compare regression models. Model selection can also be used to compare mechanistic models derived from ecological theory, thereby providing a formal framework for testing the theory. The Akaike Information Criterion (AIC) is the most commonly adopted criterion used to compare models; however, its performance in general is not very well known. The best model according to AIC has the smallest expected Kullback-Leibler (K-L) distance, which is an information-theoretic measure of the difference between a model and the truth. I review the theory behind AIC and demonstrate how it can be used to test ecological theory by considering two example studies of foraging, motivated by simple foraging theory. I present plausible truths for the two studies, and models that can be fit to the foraging data. K-L distances are calculated for simulated studies, which provide an appropriate test of AIC. Results support the use of a commonly adopted rule of thumb for selecting models based on AIC differences. However, AICc, a corrected version of AIC commonly used to reduce model selection bias, showed no clear improvement, and model averaging, a technique to reduce model prediction bias, gave mixed results.","container-title":"Ecology","DOI":"10.1890/05-0074","ISSN":"1939-9170","issue":"10","language":"en","note":"_eprint: https://esajournals.onlinelibrary.wiley.com/doi/pdf/10.1890/05-0074","page":"2805-2814","source":"Wiley Online Library","title":"Testing Ecological Theory Using the Information-Theoretic Approach: Examples and Cautionary Results","title-short":"Testing Ecological Theory Using the Information-Theoretic Approach","volume":"86","author":[{"family":"Richards","given":"Shane A."}],"issued":{"date-parts":[["2005"]]}}}],"schema":"https://github.com/citation-style-language/schema/raw/master/csl-citation.json"} </w:instrText>
      </w:r>
      <w:r w:rsidR="00FE5EDA">
        <w:fldChar w:fldCharType="separate"/>
      </w:r>
      <w:r w:rsidR="00FE5EDA" w:rsidRPr="00FE5EDA">
        <w:rPr>
          <w:rFonts w:ascii="Calibri" w:hAnsi="Calibri" w:cs="Calibri"/>
        </w:rPr>
        <w:t>(Richards, 2008, 2005)</w:t>
      </w:r>
      <w:r w:rsidR="00FE5EDA">
        <w:fldChar w:fldCharType="end"/>
      </w:r>
      <w:r w:rsidR="00FE5EDA">
        <w:t xml:space="preserve">. </w:t>
      </w:r>
      <w:r w:rsidR="0093423C">
        <w:t>Using such</w:t>
      </w:r>
      <w:r w:rsidR="00DA6271">
        <w:t xml:space="preserve"> </w:t>
      </w:r>
      <w:r w:rsidR="00870A6A">
        <w:rPr>
          <w:rFonts w:hint="eastAsia"/>
        </w:rPr>
        <w:t>a</w:t>
      </w:r>
      <w:r w:rsidR="00870A6A">
        <w:t xml:space="preserve"> </w:t>
      </w:r>
      <w:r w:rsidR="00DA6271">
        <w:t xml:space="preserve">conservative </w:t>
      </w:r>
      <w:r w:rsidR="00870A6A">
        <w:t xml:space="preserve">criteria </w:t>
      </w:r>
      <w:r w:rsidR="00DA6271">
        <w:t xml:space="preserve">has the advantage of </w:t>
      </w:r>
      <w:r w:rsidR="002D3F75">
        <w:t xml:space="preserve">disregarding </w:t>
      </w:r>
      <w:r w:rsidR="0084425D">
        <w:t xml:space="preserve">overly complex </w:t>
      </w:r>
      <w:r w:rsidR="00DA6271">
        <w:t>model</w:t>
      </w:r>
      <w:r w:rsidR="00870A6A">
        <w:t>s</w:t>
      </w:r>
      <w:r w:rsidR="0084425D">
        <w:t xml:space="preserve">, which include more variables without notable decrease in AICc </w:t>
      </w:r>
      <w:r w:rsidR="00AE3B88">
        <w:t xml:space="preserve">values </w:t>
      </w:r>
      <w:r w:rsidR="00DA6271">
        <w:fldChar w:fldCharType="begin"/>
      </w:r>
      <w:r w:rsidR="00DA6271">
        <w:instrText xml:space="preserve"> ADDIN ZOTERO_ITEM CSL_CITATION {"citationID":"XuW91bXs","properties":{"formattedCitation":"(Richards, 2008)","plainCitation":"(Richards, 2008)","noteIndex":0},"citationItems":[{"id":11349,"uris":["http://zotero.org/users/6403124/items/97AI2NKU"],"itemData":{"id":11349,"type":"article-journal","abstract":"1 The ability to identify key ecological processes is important when solving applied problems. Increasingly, ecologists are adopting Akaike's information criterion (AIC) as a metric to help them assess and select among multiple process-based ecological models. Surprisingly, however, it is still unclear how best to incorporate AIC into the selection process in order to address the trade-off between maximizing the probability of retaining the most parsimonious model while minimizing the number of models retained. 2 Ecological count data are often observed to be overdispersed with respect to best-fitting models. Overdispersion is problematic when performing an AIC analysis, as it can result in selection of overly complex models which can lead to poor ecological inference. This paper describes and illustrates two approaches that deal effectively with overdispersion. The first approach involves modelling the causes of overdispersion implicitly using compound probability distributions. The second approach ignores the causes of overdispersion and uses quasi-AIC (QAIC) as a metric for model parsimony. 3 Simulations and a novel method that identifies the most parsimonious model are used to demonstrate the utility of the two overdispersion approaches within the context of two ecological examples. The first example addresses binomial data obtained from a study of fish survival (as related to habitat structure) and the second example addresses Poisson data obtained from a study of flower visitation by nectarivores. 4 Applying either overdispersion approach reduces the chance of selecting overly complex models, and both approaches result in very similar ecological inference. In addition, inference can be made more reliable by incorporating model nesting into the selection process (i.e. identifying which models are special cases of others), as it reduces the number of models selected without significantly reducing the probability of retaining the most parsimonious models. 5 Synthesis and applications. When data are overdispersed, inference can be improved by either modelling the causes of overdispersion or applying QAIC as a metric for model parsimony. Inference can also be improved by adopting a model filtering procedure based on how models are nested. The general simulation approach presented in this paper for identifying the most parsimonious model, as defined by information theory, should help to improve our understanding of the reliability of model selection when using AIC, and help the development of better selection rules.","container-title":"Journal of Applied Ecology","DOI":"10.1111/j.1365-2664.2007.01377.x","ISSN":"1365-2664","issue":"1","language":"en","note":"_eprint: https://onlinelibrary.wiley.com/doi/pdf/10.1111/j.1365-2664.2007.01377.x","page":"218-227","source":"Wiley Online Library","title":"Dealing with overdispersed count data in applied ecology","volume":"45","author":[{"family":"Richards","given":"Shane A."}],"issued":{"date-parts":[["2008"]]}}}],"schema":"https://github.com/citation-style-language/schema/raw/master/csl-citation.json"} </w:instrText>
      </w:r>
      <w:r w:rsidR="00DA6271">
        <w:fldChar w:fldCharType="separate"/>
      </w:r>
      <w:r w:rsidR="00DA6271" w:rsidRPr="00DA6271">
        <w:rPr>
          <w:rFonts w:ascii="Calibri" w:hAnsi="Calibri" w:cs="Calibri"/>
        </w:rPr>
        <w:t>(Richards, 2008)</w:t>
      </w:r>
      <w:r w:rsidR="00DA6271">
        <w:fldChar w:fldCharType="end"/>
      </w:r>
      <w:r w:rsidR="0093423C">
        <w:t>.</w:t>
      </w:r>
      <w:r w:rsidR="009043AB">
        <w:t xml:space="preserve"> We then took the natural average of the resulting models to seek ecological </w:t>
      </w:r>
      <w:r w:rsidR="00870A6A">
        <w:t>trends</w:t>
      </w:r>
      <w:r w:rsidR="007D191B">
        <w:t xml:space="preserve"> </w:t>
      </w:r>
      <w:r w:rsidR="007D191B">
        <w:fldChar w:fldCharType="begin"/>
      </w:r>
      <w:r w:rsidR="007D191B">
        <w:instrText xml:space="preserve"> ADDIN ZOTERO_ITEM CSL_CITATION {"citationID":"RTwFrmjV","properties":{"formattedCitation":"(Burnham and Anderson, 2002)","plainCitation":"(Burnham and Anderson, 2002)","noteIndex":0},"citationItems":[{"id":1921,"uris":["http://zotero.org/users/6403124/items/ND9JE3H8"],"itemData":{"id":1921,"type":"book","edition":"2","ISBN":"978-0-387-22456-5","language":"EN","number-of-pages":"488","publisher":"Springer, New York, NY","title":"Model selection and multimodel inference: a practical information-theorectic approach","URL":"https://doi.org/10.1007/b97636","author":[{"family":"Burnham","given":"Kenneth P."},{"family":"Anderson","given":"David R."}],"issued":{"date-parts":[["2002"]]}}}],"schema":"https://github.com/citation-style-language/schema/raw/master/csl-citation.json"} </w:instrText>
      </w:r>
      <w:r w:rsidR="007D191B">
        <w:fldChar w:fldCharType="separate"/>
      </w:r>
      <w:r w:rsidR="007D191B" w:rsidRPr="007D191B">
        <w:rPr>
          <w:rFonts w:ascii="Calibri" w:hAnsi="Calibri" w:cs="Calibri"/>
        </w:rPr>
        <w:t>(Burnham and Anderson, 2002)</w:t>
      </w:r>
      <w:r w:rsidR="007D191B">
        <w:fldChar w:fldCharType="end"/>
      </w:r>
      <w:r w:rsidR="009043AB">
        <w:t>.</w:t>
      </w:r>
      <w:r w:rsidR="0048039B">
        <w:rPr>
          <w:rFonts w:hint="eastAsia"/>
        </w:rPr>
        <w:t xml:space="preserve"> </w:t>
      </w:r>
    </w:p>
    <w:p w14:paraId="35D514B3" w14:textId="1D2FAC8C" w:rsidR="00FE5EDA" w:rsidRDefault="0048039B" w:rsidP="0017616C">
      <w:r>
        <w:rPr>
          <w:rFonts w:hint="eastAsia"/>
        </w:rPr>
        <w:t>E</w:t>
      </w:r>
      <w:r w:rsidR="00FE5EDA">
        <w:t>nvironmental</w:t>
      </w:r>
      <w:r w:rsidR="00B66926">
        <w:rPr>
          <w:rFonts w:hint="eastAsia"/>
        </w:rPr>
        <w:t xml:space="preserve"> v</w:t>
      </w:r>
      <w:r w:rsidR="00B66926">
        <w:t xml:space="preserve">ariables were fitted on </w:t>
      </w:r>
      <w:r w:rsidR="00FE5EDA">
        <w:t xml:space="preserve">macrofauna </w:t>
      </w:r>
      <w:r w:rsidR="007A21DD">
        <w:t xml:space="preserve">abundance </w:t>
      </w:r>
      <w:r w:rsidR="00FE5EDA">
        <w:t>composition</w:t>
      </w:r>
      <w:r w:rsidR="007A21DD">
        <w:t>, biomass composition</w:t>
      </w:r>
      <w:r w:rsidR="00FE5EDA">
        <w:t xml:space="preserve">, abundance, biomass, and </w:t>
      </w:r>
      <w:r w:rsidR="00B32EEB">
        <w:t>TOU</w:t>
      </w:r>
      <w:r w:rsidR="00FE5EDA">
        <w:t xml:space="preserve"> </w:t>
      </w:r>
      <w:r w:rsidR="00B66926">
        <w:t xml:space="preserve">to </w:t>
      </w:r>
      <w:r>
        <w:rPr>
          <w:rFonts w:hint="eastAsia"/>
        </w:rPr>
        <w:t>i</w:t>
      </w:r>
      <w:r>
        <w:t>dentif</w:t>
      </w:r>
      <w:r w:rsidR="00B66926">
        <w:t>y</w:t>
      </w:r>
      <w:r>
        <w:t xml:space="preserve"> </w:t>
      </w:r>
      <w:r w:rsidR="00B66926">
        <w:t>potential drivers</w:t>
      </w:r>
      <w:r w:rsidR="00FE5EDA">
        <w:t xml:space="preserve">, except that we </w:t>
      </w:r>
      <w:r w:rsidR="002275A8">
        <w:t>assum</w:t>
      </w:r>
      <w:r w:rsidR="007A21DD">
        <w:t xml:space="preserve">e </w:t>
      </w:r>
      <w:r w:rsidR="002275A8">
        <w:t xml:space="preserve">no </w:t>
      </w:r>
      <w:r w:rsidR="00FE5EDA">
        <w:t>interaction</w:t>
      </w:r>
      <w:r w:rsidR="007A21DD">
        <w:t>s between those variables</w:t>
      </w:r>
      <w:r w:rsidR="00FE5EDA">
        <w:t>.</w:t>
      </w:r>
      <w:r w:rsidR="007A21DD">
        <w:t xml:space="preserve"> Redundancy analysis (RDA) with p-value-based backward selection were used to retain a set of environmental variables that best described the compositional data</w:t>
      </w:r>
      <w:r w:rsidR="000E1DAD">
        <w:t>.</w:t>
      </w:r>
      <w:r w:rsidR="000E1DAD">
        <w:rPr>
          <w:rFonts w:hint="eastAsia"/>
        </w:rPr>
        <w:t xml:space="preserve"> </w:t>
      </w:r>
      <w:r w:rsidR="000E1DAD">
        <w:t xml:space="preserve">Only taxa with </w:t>
      </w:r>
      <w:r w:rsidR="000E1DAD">
        <w:lastRenderedPageBreak/>
        <w:t>40% of their variation explained by the first two RDA axes were shown.</w:t>
      </w:r>
      <w:r w:rsidR="00014B2B">
        <w:t xml:space="preserve"> </w:t>
      </w:r>
      <w:r w:rsidR="00C77C08">
        <w:rPr>
          <w:rFonts w:hint="eastAsia"/>
        </w:rPr>
        <w:t>M</w:t>
      </w:r>
      <w:r w:rsidR="007A21DD">
        <w:t xml:space="preserve">acrofauna abundance, biomass, and </w:t>
      </w:r>
      <w:r w:rsidR="00260380">
        <w:t>TO</w:t>
      </w:r>
      <w:r w:rsidR="00C77C08">
        <w:rPr>
          <w:rFonts w:hint="eastAsia"/>
        </w:rPr>
        <w:t>U</w:t>
      </w:r>
      <w:r w:rsidR="00C77C08">
        <w:t xml:space="preserve">, similar to what we described above, </w:t>
      </w:r>
      <w:r w:rsidR="007A21DD">
        <w:t>were also fitted with environmental variables with simple linear regression under a multimodel framework.</w:t>
      </w:r>
    </w:p>
    <w:p w14:paraId="1C089ABA" w14:textId="6161F823" w:rsidR="0037699D" w:rsidRDefault="0037699D" w:rsidP="00AD42AC">
      <w:pPr>
        <w:pStyle w:val="Title1"/>
      </w:pPr>
      <w:r>
        <w:t>Results</w:t>
      </w:r>
    </w:p>
    <w:p w14:paraId="0665AD0F" w14:textId="7B33A8A5" w:rsidR="004E22B6" w:rsidRDefault="004E22B6" w:rsidP="00577380">
      <w:pPr>
        <w:pStyle w:val="Title2"/>
      </w:pPr>
      <w:r w:rsidRPr="004E22B6">
        <w:t>Environmental condition</w:t>
      </w:r>
      <w:r w:rsidR="000A038A">
        <w:t xml:space="preserve"> and macrofauna </w:t>
      </w:r>
    </w:p>
    <w:p w14:paraId="4A96359E" w14:textId="429B5441" w:rsidR="00677B2B" w:rsidRDefault="00677B2B" w:rsidP="00D96252">
      <w:r>
        <w:t xml:space="preserve">CTD profiles showed notable temporal variations </w:t>
      </w:r>
      <w:r w:rsidRPr="00677B2B">
        <w:rPr>
          <w:color w:val="FF0000"/>
        </w:rPr>
        <w:t>(figure 2)</w:t>
      </w:r>
      <w:r>
        <w:t>.</w:t>
      </w:r>
      <w:r w:rsidR="00A03DC6">
        <w:t xml:space="preserve"> Temperature, salinity, density, oxygen, and fluorescence profiles</w:t>
      </w:r>
      <w:r w:rsidR="00C94F5E">
        <w:t xml:space="preserve"> in OR1-1219</w:t>
      </w:r>
      <w:r w:rsidR="00A03DC6">
        <w:t xml:space="preserve"> showed little variation across depths and between stations.</w:t>
      </w:r>
      <w:r w:rsidR="00C94F5E">
        <w:t xml:space="preserve"> In contrast, temperature, salinity, and density, profiles in OR1-1242 displayed noticeable stratification patterns, with warm, brackish, light water </w:t>
      </w:r>
      <w:r w:rsidR="00995261">
        <w:t xml:space="preserve">occupied </w:t>
      </w:r>
      <w:r w:rsidR="00C94F5E">
        <w:t xml:space="preserve">the upper water column and cold, saline, heavy water </w:t>
      </w:r>
      <w:r w:rsidR="00995261">
        <w:t xml:space="preserve">located </w:t>
      </w:r>
      <w:r w:rsidR="00C94F5E">
        <w:t>at the lower water column.</w:t>
      </w:r>
      <w:r w:rsidR="00995261">
        <w:t xml:space="preserve"> Transmission profiles in both of the cruises were varies through the water column, while that in OR1-1242 showed greater variations.</w:t>
      </w:r>
    </w:p>
    <w:p w14:paraId="0B996B1B" w14:textId="20DC9D96" w:rsidR="00BD17AD" w:rsidRDefault="00BD17AD" w:rsidP="00D96252">
      <w:r>
        <w:t>PC1 and PC1 of the environmental variables explained 36.6 and 25.6</w:t>
      </w:r>
      <w:r>
        <w:rPr>
          <w:rFonts w:hint="eastAsia"/>
        </w:rPr>
        <w:t xml:space="preserve">% </w:t>
      </w:r>
      <w:r>
        <w:t>of the total variation</w:t>
      </w:r>
      <w:r w:rsidR="00C32BE3">
        <w:t xml:space="preserve"> </w:t>
      </w:r>
      <w:r w:rsidR="00C32BE3" w:rsidRPr="00C32BE3">
        <w:rPr>
          <w:color w:val="FF0000"/>
        </w:rPr>
        <w:t xml:space="preserve">(figure </w:t>
      </w:r>
      <w:r w:rsidR="005F2BEE">
        <w:rPr>
          <w:color w:val="FF0000"/>
        </w:rPr>
        <w:t>3</w:t>
      </w:r>
      <w:r w:rsidR="00C32BE3" w:rsidRPr="00C32BE3">
        <w:rPr>
          <w:color w:val="FF0000"/>
        </w:rPr>
        <w:t>)</w:t>
      </w:r>
      <w:r>
        <w:t>.</w:t>
      </w:r>
      <w:r w:rsidR="00DB5057">
        <w:t xml:space="preserve"> PC1 was loaded with high contributions of </w:t>
      </w:r>
      <w:r w:rsidR="00DB5057" w:rsidRPr="00097F40">
        <w:rPr>
          <w:i/>
        </w:rPr>
        <w:t>Temp</w:t>
      </w:r>
      <w:r w:rsidR="00DB5057">
        <w:t xml:space="preserve">, </w:t>
      </w:r>
      <w:r w:rsidR="00DB5057" w:rsidRPr="00097F40">
        <w:rPr>
          <w:i/>
        </w:rPr>
        <w:t>Fluo</w:t>
      </w:r>
      <w:r w:rsidR="00DB5057">
        <w:t xml:space="preserve">, </w:t>
      </w:r>
      <w:r w:rsidR="00DB5057" w:rsidRPr="00097F40">
        <w:rPr>
          <w:i/>
        </w:rPr>
        <w:t>Chla</w:t>
      </w:r>
      <w:r w:rsidR="00DB5057">
        <w:t xml:space="preserve">, and </w:t>
      </w:r>
      <w:r w:rsidR="00DB5057" w:rsidRPr="00A10ECE">
        <w:rPr>
          <w:i/>
        </w:rPr>
        <w:t>CN</w:t>
      </w:r>
      <w:r w:rsidR="00DB5057">
        <w:t xml:space="preserve">. PC2 was loaded with </w:t>
      </w:r>
      <w:r w:rsidR="00DB5057" w:rsidRPr="00C62F27">
        <w:rPr>
          <w:i/>
        </w:rPr>
        <w:t>TOC</w:t>
      </w:r>
      <w:r w:rsidR="00DB5057">
        <w:t xml:space="preserve">, </w:t>
      </w:r>
      <w:r w:rsidR="00DB5057" w:rsidRPr="00C62F27">
        <w:rPr>
          <w:i/>
        </w:rPr>
        <w:t>Por</w:t>
      </w:r>
      <w:r w:rsidR="00DB5057">
        <w:t xml:space="preserve">, and </w:t>
      </w:r>
      <w:r w:rsidR="00DB5057" w:rsidRPr="00C62F27">
        <w:rPr>
          <w:i/>
        </w:rPr>
        <w:t>D50</w:t>
      </w:r>
      <w:r w:rsidR="00DB5057">
        <w:t>.</w:t>
      </w:r>
      <w:r w:rsidR="007D36E0">
        <w:t xml:space="preserve"> Shallower stations of OR1-1242 (S2, S3, S6, and </w:t>
      </w:r>
      <w:r w:rsidR="007D36E0">
        <w:rPr>
          <w:rFonts w:hint="eastAsia"/>
        </w:rPr>
        <w:t>S</w:t>
      </w:r>
      <w:r w:rsidR="007D36E0">
        <w:t>7) were aggregated at the right-hand side of the PCA figure, while deeper stations in OR1-1242 and all stations in OR1-1219 aggregated at the left-hand side of the PCA.</w:t>
      </w:r>
    </w:p>
    <w:p w14:paraId="586EC483" w14:textId="1C64B022" w:rsidR="00B32EEB" w:rsidRDefault="00452AA7" w:rsidP="00577380">
      <w:pPr>
        <w:pStyle w:val="Title2"/>
      </w:pPr>
      <w:r>
        <w:t>M</w:t>
      </w:r>
      <w:r w:rsidR="00E0490B">
        <w:t xml:space="preserve">acrofauna </w:t>
      </w:r>
      <w:r>
        <w:t>assemblage</w:t>
      </w:r>
    </w:p>
    <w:p w14:paraId="1BC2E278" w14:textId="5D9A8F6F" w:rsidR="00C32BE3" w:rsidRDefault="0027687C" w:rsidP="00BF3177">
      <w:r>
        <w:t xml:space="preserve">We found </w:t>
      </w:r>
      <w:r w:rsidR="00D468E1">
        <w:t>27 taxa</w:t>
      </w:r>
      <w:r>
        <w:t xml:space="preserve"> belonging to phylums of Annelida, Arthopoda, Cnidaria, </w:t>
      </w:r>
      <w:r w:rsidR="005616BB">
        <w:t xml:space="preserve">Echinodermata, </w:t>
      </w:r>
      <w:r>
        <w:t xml:space="preserve">Mollusca, </w:t>
      </w:r>
      <w:r w:rsidR="005616BB">
        <w:t xml:space="preserve">Nematoda, </w:t>
      </w:r>
      <w:r>
        <w:t>Nemertea, Phoronida</w:t>
      </w:r>
      <w:r w:rsidR="005616BB">
        <w:t>, Platyhelminthes</w:t>
      </w:r>
      <w:r>
        <w:t xml:space="preserve">, </w:t>
      </w:r>
      <w:r w:rsidR="005616BB">
        <w:t xml:space="preserve">and </w:t>
      </w:r>
      <w:r>
        <w:t>Vertabrata</w:t>
      </w:r>
      <w:r w:rsidR="005616BB">
        <w:t>.</w:t>
      </w:r>
      <w:r w:rsidR="001F4ADD">
        <w:t xml:space="preserve"> </w:t>
      </w:r>
      <w:r w:rsidR="00526A57">
        <w:t xml:space="preserve">Across all </w:t>
      </w:r>
      <w:r w:rsidR="001F4ADD">
        <w:t xml:space="preserve">27 taxa, polychaetes dominated </w:t>
      </w:r>
      <w:r w:rsidR="00C341C3">
        <w:t>macrofauna</w:t>
      </w:r>
      <w:r w:rsidR="00551EC8">
        <w:t xml:space="preserve"> abundance </w:t>
      </w:r>
      <w:r w:rsidR="003B0C7A">
        <w:t xml:space="preserve">and biomass </w:t>
      </w:r>
      <w:r w:rsidR="00C341C3">
        <w:t xml:space="preserve">across all </w:t>
      </w:r>
      <w:r w:rsidR="003D20E1">
        <w:t>stations</w:t>
      </w:r>
      <w:r w:rsidR="001F4ADD">
        <w:t>, contributing</w:t>
      </w:r>
      <w:r w:rsidR="00EE0278">
        <w:t xml:space="preserve"> 39.43-70.22%</w:t>
      </w:r>
      <w:r w:rsidR="003D20E1">
        <w:t xml:space="preserve"> </w:t>
      </w:r>
      <w:r w:rsidR="003B0C7A">
        <w:t xml:space="preserve">and </w:t>
      </w:r>
      <w:r w:rsidR="008E11EF">
        <w:t>6.29-82.</w:t>
      </w:r>
      <w:r w:rsidR="000363BD">
        <w:t>4</w:t>
      </w:r>
      <w:r w:rsidR="008E11EF">
        <w:t xml:space="preserve">5% </w:t>
      </w:r>
      <w:r w:rsidR="003B0C7A">
        <w:t xml:space="preserve">of </w:t>
      </w:r>
      <w:r w:rsidR="00C02607">
        <w:t xml:space="preserve">overall </w:t>
      </w:r>
      <w:r w:rsidR="00C02607">
        <w:lastRenderedPageBreak/>
        <w:t xml:space="preserve">abundance and </w:t>
      </w:r>
      <w:r w:rsidR="003B0C7A">
        <w:t>biomass</w:t>
      </w:r>
      <w:r w:rsidR="00C02607">
        <w:t xml:space="preserve"> </w:t>
      </w:r>
      <w:r w:rsidR="00BF3177" w:rsidRPr="001D585C">
        <w:rPr>
          <w:color w:val="FF0000"/>
        </w:rPr>
        <w:t xml:space="preserve">(figure </w:t>
      </w:r>
      <w:r w:rsidR="000953FA">
        <w:rPr>
          <w:color w:val="FF0000"/>
        </w:rPr>
        <w:t>4</w:t>
      </w:r>
      <w:r w:rsidR="00BF3177" w:rsidRPr="001D585C">
        <w:rPr>
          <w:color w:val="FF0000"/>
        </w:rPr>
        <w:t>)</w:t>
      </w:r>
      <w:r w:rsidR="00BF3177">
        <w:t>.</w:t>
      </w:r>
      <w:r w:rsidR="00676B78">
        <w:t xml:space="preserve"> </w:t>
      </w:r>
      <w:r w:rsidR="000D1300">
        <w:t>In terms of abundance, a</w:t>
      </w:r>
      <w:r w:rsidR="002D6D3B">
        <w:t xml:space="preserve">mphipods and nematodes </w:t>
      </w:r>
      <w:r w:rsidR="000D1300">
        <w:t>also contributed greatly to macrofauna abundance</w:t>
      </w:r>
      <w:r w:rsidR="002D6D3B">
        <w:t xml:space="preserve">, </w:t>
      </w:r>
      <w:r w:rsidR="00762810">
        <w:t xml:space="preserve">occupying </w:t>
      </w:r>
      <w:r w:rsidR="002D6D3B">
        <w:t xml:space="preserve">1.27-39.00% and </w:t>
      </w:r>
      <w:r w:rsidR="00032C06">
        <w:t xml:space="preserve">3.55-21.05% of abundance </w:t>
      </w:r>
      <w:r w:rsidR="002D6D3B">
        <w:t>across all stations, respectively</w:t>
      </w:r>
      <w:r w:rsidR="00C02607">
        <w:t xml:space="preserve"> </w:t>
      </w:r>
      <w:r w:rsidR="00C02607" w:rsidRPr="00C02607">
        <w:rPr>
          <w:color w:val="FF0000"/>
        </w:rPr>
        <w:t xml:space="preserve">(figure </w:t>
      </w:r>
      <w:r w:rsidR="000953FA">
        <w:rPr>
          <w:color w:val="FF0000"/>
        </w:rPr>
        <w:t>4</w:t>
      </w:r>
      <w:r w:rsidR="00C02607" w:rsidRPr="00C02607">
        <w:rPr>
          <w:color w:val="FF0000"/>
        </w:rPr>
        <w:t>a)</w:t>
      </w:r>
      <w:r w:rsidR="002D6D3B">
        <w:t>.</w:t>
      </w:r>
      <w:r w:rsidR="00762810">
        <w:t xml:space="preserve"> O</w:t>
      </w:r>
      <w:r w:rsidR="00676B78">
        <w:rPr>
          <w:rFonts w:hint="eastAsia"/>
        </w:rPr>
        <w:t>n</w:t>
      </w:r>
      <w:r w:rsidR="00676B78">
        <w:t xml:space="preserve"> the other hand, </w:t>
      </w:r>
      <w:r w:rsidR="00762810">
        <w:t xml:space="preserve">ophiuroids and decapods contributed greatly to </w:t>
      </w:r>
      <w:r w:rsidR="00486281">
        <w:t>macrofauna biomass</w:t>
      </w:r>
      <w:r w:rsidR="00762810">
        <w:t xml:space="preserve">, </w:t>
      </w:r>
      <w:r w:rsidR="00F13BF1">
        <w:t>accounting</w:t>
      </w:r>
      <w:r w:rsidR="00762810">
        <w:t xml:space="preserve"> </w:t>
      </w:r>
      <w:r w:rsidR="007D3D4A">
        <w:t xml:space="preserve">0-81.16% and 0-81.73%, respectively </w:t>
      </w:r>
      <w:r w:rsidR="007D3D4A" w:rsidRPr="00486281">
        <w:rPr>
          <w:color w:val="FF0000"/>
        </w:rPr>
        <w:t>(figure</w:t>
      </w:r>
      <w:r w:rsidR="00486281" w:rsidRPr="00486281">
        <w:rPr>
          <w:color w:val="FF0000"/>
        </w:rPr>
        <w:t xml:space="preserve"> </w:t>
      </w:r>
      <w:r w:rsidR="000953FA">
        <w:rPr>
          <w:color w:val="FF0000"/>
        </w:rPr>
        <w:t>4</w:t>
      </w:r>
      <w:r w:rsidR="00486281" w:rsidRPr="00486281">
        <w:rPr>
          <w:color w:val="FF0000"/>
        </w:rPr>
        <w:t>b</w:t>
      </w:r>
      <w:r w:rsidR="007D3D4A" w:rsidRPr="00486281">
        <w:rPr>
          <w:color w:val="FF0000"/>
        </w:rPr>
        <w:t>)</w:t>
      </w:r>
      <w:r w:rsidR="00486281">
        <w:t>.</w:t>
      </w:r>
      <w:r w:rsidR="001F55A9">
        <w:t xml:space="preserve"> </w:t>
      </w:r>
      <w:r w:rsidR="007C130A">
        <w:t>While the overall density assemblage did not vary, variations in ophiuroid and decapod biomass were</w:t>
      </w:r>
      <w:r w:rsidR="005973BC">
        <w:t xml:space="preserve"> evident</w:t>
      </w:r>
      <w:r w:rsidR="007C130A">
        <w:t xml:space="preserve"> in macrofauna biomass assemblage. </w:t>
      </w:r>
    </w:p>
    <w:p w14:paraId="41838ED0" w14:textId="71FBEA5B" w:rsidR="00BF3177" w:rsidRDefault="00BC3F1A" w:rsidP="00BF3177">
      <w:r>
        <w:t xml:space="preserve">PERMANOVA tests revealed notable spatiotemporal variations in macrofauna abundance and biomass compositions </w:t>
      </w:r>
      <w:r w:rsidRPr="001D585C">
        <w:rPr>
          <w:color w:val="FF0000"/>
        </w:rPr>
        <w:t xml:space="preserve">(Table </w:t>
      </w:r>
      <w:r>
        <w:rPr>
          <w:color w:val="FF0000"/>
        </w:rPr>
        <w:t>1</w:t>
      </w:r>
      <w:r w:rsidRPr="001D585C">
        <w:rPr>
          <w:color w:val="FF0000"/>
        </w:rPr>
        <w:t>)</w:t>
      </w:r>
      <w:r>
        <w:t xml:space="preserve">. For abundance composition, we found </w:t>
      </w:r>
      <w:r w:rsidR="00C14DFA">
        <w:t xml:space="preserve">very </w:t>
      </w:r>
      <w:r>
        <w:t>strong evidence with depth (p = 0.0001) and DRM (p =0.0002)</w:t>
      </w:r>
      <w:r w:rsidR="001D585C" w:rsidRPr="001D585C">
        <w:t>.</w:t>
      </w:r>
      <w:r>
        <w:t xml:space="preserve"> We found moderate evidence in cruise differences (p = 0.0458) and DRM-cruise interactions (p = 0.0440). There was weak evidence in depth-DRM interactions (p = 0.0884). Depth-cruise interactions had no evidence on abundance composition (p = 06904).</w:t>
      </w:r>
      <w:r w:rsidR="009C4D24">
        <w:t xml:space="preserve"> For biomass composition, we </w:t>
      </w:r>
      <w:r w:rsidR="005206D3">
        <w:t xml:space="preserve">only </w:t>
      </w:r>
      <w:r w:rsidR="009C4D24">
        <w:t xml:space="preserve">found </w:t>
      </w:r>
      <w:r w:rsidR="00C14DFA">
        <w:t xml:space="preserve">very </w:t>
      </w:r>
      <w:r w:rsidR="009C4D24">
        <w:t xml:space="preserve">strong evidence in </w:t>
      </w:r>
      <w:r w:rsidR="005206D3">
        <w:t xml:space="preserve">depth (p = 0.0001). We found </w:t>
      </w:r>
      <w:r w:rsidR="00C14DFA">
        <w:t xml:space="preserve">strong evidences </w:t>
      </w:r>
      <w:r w:rsidR="005206D3">
        <w:t>DRM (p = 0.0092)</w:t>
      </w:r>
      <w:r w:rsidR="00C14DFA">
        <w:t xml:space="preserve"> and DRM-cruise interactions (p = 0.0014)</w:t>
      </w:r>
      <w:r w:rsidR="005206D3">
        <w:t>.</w:t>
      </w:r>
      <w:r w:rsidR="00C14DFA">
        <w:t xml:space="preserve"> Moderate evidence was found in cruise effect (p = 0.0208). There w</w:t>
      </w:r>
      <w:r w:rsidR="001D41EE">
        <w:t>as</w:t>
      </w:r>
      <w:r w:rsidR="00C14DFA">
        <w:t xml:space="preserve"> no evidence in depth-cruise (p = 0.8016) and depth-DRM interactions (p = 0.2512)</w:t>
      </w:r>
      <w:r w:rsidR="006E27F3">
        <w:t>.</w:t>
      </w:r>
    </w:p>
    <w:p w14:paraId="0390FB28" w14:textId="6172D30F" w:rsidR="00BF3177" w:rsidRDefault="009A5322" w:rsidP="00BF3177">
      <w:r>
        <w:t xml:space="preserve">Principle component analyses generally agreed with the PERMANOVA results, revealing complex spatiotemporal assemblage variations </w:t>
      </w:r>
      <w:r w:rsidRPr="009A5322">
        <w:rPr>
          <w:color w:val="FF0000"/>
        </w:rPr>
        <w:t xml:space="preserve">(figure </w:t>
      </w:r>
      <w:r w:rsidR="008D2D46">
        <w:rPr>
          <w:color w:val="FF0000"/>
        </w:rPr>
        <w:t>5</w:t>
      </w:r>
      <w:r w:rsidRPr="009A5322">
        <w:rPr>
          <w:color w:val="FF0000"/>
        </w:rPr>
        <w:t>)</w:t>
      </w:r>
      <w:r>
        <w:t xml:space="preserve">. </w:t>
      </w:r>
      <w:r w:rsidR="00BF3177">
        <w:t xml:space="preserve">PC1 and PC2 of the macrofauna abundance composition explained 18.14 and 15.94% of the total variation </w:t>
      </w:r>
      <w:r w:rsidR="00BF3177" w:rsidRPr="001D585C">
        <w:rPr>
          <w:color w:val="FF0000"/>
        </w:rPr>
        <w:t xml:space="preserve">(figure </w:t>
      </w:r>
      <w:r w:rsidR="008D2D46">
        <w:rPr>
          <w:color w:val="FF0000"/>
        </w:rPr>
        <w:t>5</w:t>
      </w:r>
      <w:r w:rsidR="00BF3177" w:rsidRPr="001D585C">
        <w:rPr>
          <w:color w:val="FF0000"/>
        </w:rPr>
        <w:t>a)</w:t>
      </w:r>
      <w:r w:rsidR="00BF3177">
        <w:t>.</w:t>
      </w:r>
      <w:r w:rsidR="00551EC8">
        <w:rPr>
          <w:rFonts w:hint="eastAsia"/>
        </w:rPr>
        <w:t xml:space="preserve"> </w:t>
      </w:r>
      <w:r w:rsidR="002A22B0">
        <w:t>More the 40% of the variation of p</w:t>
      </w:r>
      <w:r w:rsidR="00551EC8">
        <w:t xml:space="preserve">eracarids (isopods, tanaids, and amphipods), aplacophorans, and hydroids </w:t>
      </w:r>
      <w:r w:rsidR="002A22B0">
        <w:t xml:space="preserve">were explained in the first two PCs. </w:t>
      </w:r>
      <w:r w:rsidR="004C353E">
        <w:t xml:space="preserve">OR1-1219 samples were </w:t>
      </w:r>
      <w:r w:rsidR="009B1F7D">
        <w:t xml:space="preserve">mostly </w:t>
      </w:r>
      <w:r w:rsidR="004C353E">
        <w:t xml:space="preserve">characterized with high contributions of </w:t>
      </w:r>
      <w:r w:rsidR="009B1F7D">
        <w:t xml:space="preserve">aplacophorans, tanids, and amphipods, while shallower-water OR1-1242 samples (S2, </w:t>
      </w:r>
      <w:r w:rsidR="009B1F7D">
        <w:lastRenderedPageBreak/>
        <w:t>S3, S6, S7) were not.</w:t>
      </w:r>
      <w:r w:rsidR="008C5B07">
        <w:t xml:space="preserve"> </w:t>
      </w:r>
      <w:r w:rsidR="00BF3177">
        <w:t xml:space="preserve">PC1 and PC2 of the macrofauna biomass composition explained 20.57 and 13.69% of the total variation </w:t>
      </w:r>
      <w:r w:rsidR="00BF3177" w:rsidRPr="00057362">
        <w:rPr>
          <w:color w:val="FF0000"/>
        </w:rPr>
        <w:t xml:space="preserve">(figure </w:t>
      </w:r>
      <w:r w:rsidR="001F3A48">
        <w:rPr>
          <w:color w:val="FF0000"/>
        </w:rPr>
        <w:t>5</w:t>
      </w:r>
      <w:r w:rsidR="00BF3177" w:rsidRPr="00057362">
        <w:rPr>
          <w:color w:val="FF0000"/>
        </w:rPr>
        <w:t>b)</w:t>
      </w:r>
      <w:r w:rsidR="00BF3177">
        <w:t>.</w:t>
      </w:r>
      <w:r w:rsidR="00551EC8">
        <w:t xml:space="preserve"> </w:t>
      </w:r>
      <w:r w:rsidR="002A22B0">
        <w:t>More the 40% of the variation of a</w:t>
      </w:r>
      <w:r w:rsidR="00551EC8">
        <w:t xml:space="preserve">placophorans, mysids, ophiuroids, and decapods were explained </w:t>
      </w:r>
      <w:r w:rsidR="002A22B0">
        <w:t xml:space="preserve">by </w:t>
      </w:r>
      <w:r w:rsidR="00551EC8">
        <w:t>the first two PCs</w:t>
      </w:r>
      <w:r w:rsidR="002A22B0">
        <w:t xml:space="preserve">. </w:t>
      </w:r>
      <w:r w:rsidR="00A17750">
        <w:t>In contrast with the abundance composition PCA figure, t</w:t>
      </w:r>
      <w:r w:rsidR="00551EC8">
        <w:t xml:space="preserve">he distribution of samples </w:t>
      </w:r>
      <w:r w:rsidR="00683889">
        <w:t xml:space="preserve">better </w:t>
      </w:r>
      <w:r w:rsidR="00551EC8">
        <w:t>correspond</w:t>
      </w:r>
      <w:r w:rsidR="00683889">
        <w:t xml:space="preserve">ed </w:t>
      </w:r>
      <w:r w:rsidR="00551EC8">
        <w:t>with the taxa vectors.</w:t>
      </w:r>
      <w:r w:rsidR="002A22B0">
        <w:t xml:space="preserve"> </w:t>
      </w:r>
      <w:r w:rsidR="00952858">
        <w:t xml:space="preserve">Many </w:t>
      </w:r>
      <w:r w:rsidR="002A22B0">
        <w:t xml:space="preserve">OR1-1219 </w:t>
      </w:r>
      <w:r w:rsidR="00952858">
        <w:t xml:space="preserve">sites </w:t>
      </w:r>
      <w:r w:rsidR="002A22B0">
        <w:t xml:space="preserve">and deeper OR1-1242 </w:t>
      </w:r>
      <w:r w:rsidR="00952858">
        <w:t xml:space="preserve">sites </w:t>
      </w:r>
      <w:r w:rsidR="002A22B0">
        <w:t xml:space="preserve">(S1, S5) </w:t>
      </w:r>
      <w:r w:rsidR="00952858">
        <w:t xml:space="preserve">were </w:t>
      </w:r>
      <w:r w:rsidR="002A22B0">
        <w:t xml:space="preserve">characterized with high contributions of ophiuriods and aplacophorans. </w:t>
      </w:r>
      <w:r w:rsidR="00D34AA0">
        <w:t xml:space="preserve">On the other hand, </w:t>
      </w:r>
      <w:r w:rsidR="002A22B0">
        <w:t xml:space="preserve">Shallower </w:t>
      </w:r>
      <w:r w:rsidR="00D34AA0">
        <w:t xml:space="preserve">OR1-1242 </w:t>
      </w:r>
      <w:r w:rsidR="002A22B0">
        <w:t xml:space="preserve">sites (S2, S3, S6, and S7) </w:t>
      </w:r>
      <w:r w:rsidR="00AF4401">
        <w:t xml:space="preserve">were </w:t>
      </w:r>
      <w:r w:rsidR="002A22B0">
        <w:t xml:space="preserve">characterized with </w:t>
      </w:r>
      <w:r w:rsidR="00010A81">
        <w:t>high contributions of mysids and decapods.</w:t>
      </w:r>
    </w:p>
    <w:p w14:paraId="2B3804C1" w14:textId="2944B148" w:rsidR="001523C3" w:rsidRPr="004E22B6" w:rsidRDefault="00831F44" w:rsidP="00BF3177">
      <w:r>
        <w:t xml:space="preserve">Regarding environmental </w:t>
      </w:r>
      <w:r w:rsidR="00E15C51">
        <w:t>drivers of macrofauna assemblages</w:t>
      </w:r>
      <w:r>
        <w:t>, RDA analys</w:t>
      </w:r>
      <w:r w:rsidR="00085EA1">
        <w:t>e</w:t>
      </w:r>
      <w:r>
        <w:t xml:space="preserve">s displayed similar features between the abundance and biomass </w:t>
      </w:r>
      <w:r w:rsidR="00085EA1">
        <w:t>compositions</w:t>
      </w:r>
      <w:r>
        <w:t xml:space="preserve"> </w:t>
      </w:r>
      <w:r w:rsidRPr="00831F44">
        <w:rPr>
          <w:color w:val="FF0000"/>
        </w:rPr>
        <w:t xml:space="preserve">(figure </w:t>
      </w:r>
      <w:r w:rsidR="00890B2B">
        <w:rPr>
          <w:color w:val="FF0000"/>
        </w:rPr>
        <w:t>6</w:t>
      </w:r>
      <w:r w:rsidRPr="00831F44">
        <w:rPr>
          <w:color w:val="FF0000"/>
        </w:rPr>
        <w:t>)</w:t>
      </w:r>
      <w:r w:rsidR="00F6231E">
        <w:t xml:space="preserve">. </w:t>
      </w:r>
      <w:r w:rsidR="001D585C">
        <w:t xml:space="preserve">RDA explained 31.44% of macrofauna abundance composition’s variation, while RDA1 and RDA2 explained 40.85 and 27.65% of that variance, respectively </w:t>
      </w:r>
      <w:r w:rsidR="001D585C" w:rsidRPr="001D585C">
        <w:rPr>
          <w:color w:val="FF0000"/>
        </w:rPr>
        <w:t xml:space="preserve">(figure </w:t>
      </w:r>
      <w:r w:rsidR="00D75052">
        <w:rPr>
          <w:color w:val="FF0000"/>
        </w:rPr>
        <w:t>6</w:t>
      </w:r>
      <w:r w:rsidR="001D585C" w:rsidRPr="001D585C">
        <w:rPr>
          <w:color w:val="FF0000"/>
        </w:rPr>
        <w:t>a)</w:t>
      </w:r>
      <w:r w:rsidR="001D585C">
        <w:t>.</w:t>
      </w:r>
      <w:r w:rsidR="00432FDF">
        <w:t xml:space="preserve"> </w:t>
      </w:r>
      <w:r w:rsidR="00432FDF" w:rsidRPr="00432FDF">
        <w:rPr>
          <w:i/>
        </w:rPr>
        <w:t>D50</w:t>
      </w:r>
      <w:r w:rsidR="00432FDF">
        <w:t>,</w:t>
      </w:r>
      <w:r w:rsidR="00432FDF" w:rsidRPr="00432FDF">
        <w:rPr>
          <w:i/>
        </w:rPr>
        <w:t xml:space="preserve"> Por</w:t>
      </w:r>
      <w:r w:rsidR="00432FDF">
        <w:t xml:space="preserve">, </w:t>
      </w:r>
      <w:r w:rsidR="00432FDF" w:rsidRPr="00432FDF">
        <w:rPr>
          <w:i/>
        </w:rPr>
        <w:t>Chla</w:t>
      </w:r>
      <w:r w:rsidR="00432FDF">
        <w:t xml:space="preserve">, </w:t>
      </w:r>
      <w:r w:rsidR="00432FDF" w:rsidRPr="00432FDF">
        <w:rPr>
          <w:i/>
        </w:rPr>
        <w:t>TOC</w:t>
      </w:r>
      <w:r w:rsidR="00432FDF">
        <w:t xml:space="preserve">, and </w:t>
      </w:r>
      <w:r w:rsidR="00432FDF" w:rsidRPr="00432FDF">
        <w:rPr>
          <w:i/>
        </w:rPr>
        <w:t>CN</w:t>
      </w:r>
      <w:r w:rsidR="00432FDF">
        <w:t xml:space="preserve"> were retained in the final RDA model. More than 40% of the variation of oligochaetes, mysids, and aplacophorans were explained by the first two RDA axes</w:t>
      </w:r>
      <w:r w:rsidR="00071116">
        <w:t xml:space="preserve">. </w:t>
      </w:r>
      <w:r w:rsidR="00DD5A12">
        <w:t>RDA explained 3</w:t>
      </w:r>
      <w:r w:rsidR="00432FDF">
        <w:t>4</w:t>
      </w:r>
      <w:r w:rsidR="00DD5A12">
        <w:t>.</w:t>
      </w:r>
      <w:r w:rsidR="00432FDF">
        <w:t>35</w:t>
      </w:r>
      <w:r w:rsidR="00DD5A12">
        <w:t xml:space="preserve">% of macrofauna </w:t>
      </w:r>
      <w:r w:rsidR="00432FDF">
        <w:t xml:space="preserve">biomass </w:t>
      </w:r>
      <w:r w:rsidR="00DD5A12">
        <w:t>composition’s variation, while RDA1 and RDA2 explained 4</w:t>
      </w:r>
      <w:r w:rsidR="00432FDF">
        <w:t>3</w:t>
      </w:r>
      <w:r w:rsidR="00DD5A12">
        <w:t>.</w:t>
      </w:r>
      <w:r w:rsidR="00432FDF">
        <w:t>02</w:t>
      </w:r>
      <w:r w:rsidR="00DD5A12">
        <w:t xml:space="preserve"> and 2</w:t>
      </w:r>
      <w:r w:rsidR="00432FDF">
        <w:t>6.04</w:t>
      </w:r>
      <w:r w:rsidR="00DD5A12">
        <w:t xml:space="preserve">% of that variance, respectively </w:t>
      </w:r>
      <w:r w:rsidR="00DD5A12" w:rsidRPr="001D585C">
        <w:rPr>
          <w:color w:val="FF0000"/>
        </w:rPr>
        <w:t xml:space="preserve">(figure </w:t>
      </w:r>
      <w:r w:rsidR="00D75052">
        <w:rPr>
          <w:color w:val="FF0000"/>
        </w:rPr>
        <w:t>6</w:t>
      </w:r>
      <w:r w:rsidR="00432FDF">
        <w:rPr>
          <w:color w:val="FF0000"/>
        </w:rPr>
        <w:t>b</w:t>
      </w:r>
      <w:r w:rsidR="00DD5A12" w:rsidRPr="001D585C">
        <w:rPr>
          <w:color w:val="FF0000"/>
        </w:rPr>
        <w:t>)</w:t>
      </w:r>
      <w:r w:rsidR="00DD5A12">
        <w:t>.</w:t>
      </w:r>
      <w:r w:rsidR="00432FDF">
        <w:t xml:space="preserve"> </w:t>
      </w:r>
      <w:r w:rsidR="00432FDF" w:rsidRPr="00432FDF">
        <w:rPr>
          <w:i/>
        </w:rPr>
        <w:t>D50</w:t>
      </w:r>
      <w:r w:rsidR="00432FDF">
        <w:t>,</w:t>
      </w:r>
      <w:r w:rsidR="00432FDF" w:rsidRPr="00432FDF">
        <w:rPr>
          <w:i/>
        </w:rPr>
        <w:t xml:space="preserve"> </w:t>
      </w:r>
      <w:r w:rsidR="00432FDF">
        <w:rPr>
          <w:i/>
        </w:rPr>
        <w:t xml:space="preserve">Temp, </w:t>
      </w:r>
      <w:r w:rsidR="00432FDF" w:rsidRPr="00432FDF">
        <w:rPr>
          <w:i/>
        </w:rPr>
        <w:t>Por</w:t>
      </w:r>
      <w:r w:rsidR="00432FDF">
        <w:t xml:space="preserve">, </w:t>
      </w:r>
      <w:r w:rsidR="00432FDF" w:rsidRPr="00432FDF">
        <w:rPr>
          <w:i/>
        </w:rPr>
        <w:t>Chla</w:t>
      </w:r>
      <w:r w:rsidR="00432FDF">
        <w:t xml:space="preserve">, </w:t>
      </w:r>
      <w:r w:rsidR="00432FDF" w:rsidRPr="00432FDF">
        <w:rPr>
          <w:i/>
        </w:rPr>
        <w:t>TOC</w:t>
      </w:r>
      <w:r w:rsidR="00432FDF">
        <w:t xml:space="preserve">, and </w:t>
      </w:r>
      <w:r w:rsidR="00432FDF" w:rsidRPr="00432FDF">
        <w:rPr>
          <w:i/>
        </w:rPr>
        <w:t>CN</w:t>
      </w:r>
      <w:r w:rsidR="00432FDF">
        <w:t xml:space="preserve"> were retained in the final RDA model.</w:t>
      </w:r>
      <w:r w:rsidR="001523C3">
        <w:t xml:space="preserve"> </w:t>
      </w:r>
      <w:r w:rsidR="006669F5">
        <w:t>More than 40% of the variation of Decapods, mysids, and aplacophorans were explained by the first two RDA axes.</w:t>
      </w:r>
      <w:r w:rsidR="001523C3">
        <w:t xml:space="preserve"> The two RDAs </w:t>
      </w:r>
      <w:r w:rsidR="00333220">
        <w:t xml:space="preserve">agreed </w:t>
      </w:r>
      <w:r w:rsidR="00AB44EE">
        <w:t xml:space="preserve">upon </w:t>
      </w:r>
      <w:r w:rsidR="001523C3">
        <w:t xml:space="preserve">that </w:t>
      </w:r>
      <w:r w:rsidR="00333220" w:rsidRPr="00CB303F">
        <w:rPr>
          <w:i/>
        </w:rPr>
        <w:t>TOC</w:t>
      </w:r>
      <w:r w:rsidR="00333220">
        <w:t xml:space="preserve">, </w:t>
      </w:r>
      <w:r w:rsidR="00333220" w:rsidRPr="00CB303F">
        <w:rPr>
          <w:i/>
        </w:rPr>
        <w:t>CN</w:t>
      </w:r>
      <w:r w:rsidR="00333220">
        <w:t xml:space="preserve">, and </w:t>
      </w:r>
      <w:r w:rsidR="00333220" w:rsidRPr="00CB303F">
        <w:rPr>
          <w:i/>
        </w:rPr>
        <w:t>Chla</w:t>
      </w:r>
      <w:r w:rsidR="00333220">
        <w:t xml:space="preserve"> </w:t>
      </w:r>
      <w:r w:rsidR="001F25F9">
        <w:t>were the main environmental variables that dr</w:t>
      </w:r>
      <w:r w:rsidR="00264351">
        <w:t>ove</w:t>
      </w:r>
      <w:r w:rsidR="001F25F9">
        <w:t xml:space="preserve"> the </w:t>
      </w:r>
      <w:r w:rsidR="00264351">
        <w:t xml:space="preserve">assemblage </w:t>
      </w:r>
      <w:r w:rsidR="001F25F9">
        <w:t>difference</w:t>
      </w:r>
      <w:r w:rsidR="00264351">
        <w:t>s</w:t>
      </w:r>
      <w:r w:rsidR="001F25F9">
        <w:t xml:space="preserve"> </w:t>
      </w:r>
      <w:r w:rsidR="000D118D">
        <w:t xml:space="preserve">among S4, S5, S6, and S7 of </w:t>
      </w:r>
      <w:r w:rsidR="001523C3">
        <w:t xml:space="preserve">OR1-1219 </w:t>
      </w:r>
      <w:r w:rsidR="000D118D">
        <w:t>and OR1-1242</w:t>
      </w:r>
      <w:r w:rsidR="001523C3">
        <w:t>.</w:t>
      </w:r>
      <w:r w:rsidR="000C3A73">
        <w:t xml:space="preserve"> On the other hand, </w:t>
      </w:r>
      <w:r w:rsidR="00333220">
        <w:t>S1 and S3 of OR1-1242</w:t>
      </w:r>
      <w:r w:rsidR="002C3FD8">
        <w:t xml:space="preserve"> were distinct from the organic matter gradient</w:t>
      </w:r>
      <w:r w:rsidR="00333220">
        <w:t xml:space="preserve">. </w:t>
      </w:r>
      <w:r w:rsidR="001523C3">
        <w:t xml:space="preserve">S1 </w:t>
      </w:r>
      <w:r w:rsidR="00333220">
        <w:t xml:space="preserve">of OR1-1242 </w:t>
      </w:r>
      <w:r w:rsidR="001523C3">
        <w:t xml:space="preserve">was characterized with high </w:t>
      </w:r>
      <w:r w:rsidR="001523C3" w:rsidRPr="003F5519">
        <w:rPr>
          <w:i/>
        </w:rPr>
        <w:t>D50</w:t>
      </w:r>
      <w:r w:rsidR="001523C3">
        <w:t xml:space="preserve">. S3 in OR1-1242 was characterized with high </w:t>
      </w:r>
      <w:r w:rsidR="001523C3" w:rsidRPr="003F5519">
        <w:rPr>
          <w:i/>
        </w:rPr>
        <w:t>Por</w:t>
      </w:r>
      <w:r w:rsidR="001523C3">
        <w:t xml:space="preserve"> and mysid contributions. </w:t>
      </w:r>
      <w:r w:rsidR="00333220">
        <w:t>T</w:t>
      </w:r>
      <w:r w:rsidR="00EA2E1D">
        <w:t>h</w:t>
      </w:r>
      <w:r w:rsidR="00333220">
        <w:t>e main difference between the two RDAs is that t</w:t>
      </w:r>
      <w:r w:rsidR="001523C3">
        <w:t xml:space="preserve">he biomass </w:t>
      </w:r>
      <w:r w:rsidR="001523C3">
        <w:lastRenderedPageBreak/>
        <w:t xml:space="preserve">RDA specifically showed </w:t>
      </w:r>
      <w:r w:rsidR="00995D82">
        <w:t xml:space="preserve">in influence of </w:t>
      </w:r>
      <w:r w:rsidR="00995D82" w:rsidRPr="003F5519">
        <w:rPr>
          <w:i/>
        </w:rPr>
        <w:t>Temp</w:t>
      </w:r>
      <w:r w:rsidR="00995D82">
        <w:t xml:space="preserve"> on </w:t>
      </w:r>
      <w:r w:rsidR="00CC2660">
        <w:t xml:space="preserve">the </w:t>
      </w:r>
      <w:r w:rsidR="001523C3">
        <w:t>shallower OR1-1242 sites (S2, S3, S6, S7).</w:t>
      </w:r>
    </w:p>
    <w:p w14:paraId="091DA045" w14:textId="6F2EEF27" w:rsidR="004E22B6" w:rsidRDefault="00BF3625" w:rsidP="00577380">
      <w:pPr>
        <w:pStyle w:val="Title2"/>
      </w:pPr>
      <w:r>
        <w:t>M</w:t>
      </w:r>
      <w:r w:rsidR="00E15B6A">
        <w:t>acrofauna abundance, biomass, and TOU</w:t>
      </w:r>
    </w:p>
    <w:p w14:paraId="07950DC7" w14:textId="3CB0F1A5" w:rsidR="006B3EBF" w:rsidRPr="00BB07B7" w:rsidRDefault="006B3EBF" w:rsidP="00DE2978">
      <w:r>
        <w:t xml:space="preserve">The average macrofauna abundance </w:t>
      </w:r>
      <w:r w:rsidR="00BB07B7">
        <w:t xml:space="preserve">across all samples </w:t>
      </w:r>
      <w:r>
        <w:t xml:space="preserve">was </w:t>
      </w:r>
      <w:r w:rsidR="00DF48EC" w:rsidRPr="00DF48EC">
        <w:t>8</w:t>
      </w:r>
      <w:r w:rsidR="00DF48EC">
        <w:t>,</w:t>
      </w:r>
      <w:r w:rsidR="00DF48EC" w:rsidRPr="00DF48EC">
        <w:t>966.69</w:t>
      </w:r>
      <w:r w:rsidR="00DF48EC">
        <w:t xml:space="preserve"> </w:t>
      </w:r>
      <w:r w:rsidR="00DF48EC">
        <w:rPr>
          <w:rFonts w:cstheme="minorHAnsi"/>
        </w:rPr>
        <w:t>±</w:t>
      </w:r>
      <w:r w:rsidR="00DF48EC">
        <w:t xml:space="preserve"> </w:t>
      </w:r>
      <w:r w:rsidR="00DF48EC" w:rsidRPr="00DF48EC">
        <w:t>4</w:t>
      </w:r>
      <w:r w:rsidR="00DF48EC">
        <w:t>,</w:t>
      </w:r>
      <w:r w:rsidR="00DF48EC" w:rsidRPr="00DF48EC">
        <w:t>144.1</w:t>
      </w:r>
      <w:r w:rsidR="00DF48EC">
        <w:t>5 ind. m</w:t>
      </w:r>
      <w:r w:rsidR="00DF48EC" w:rsidRPr="009604BE">
        <w:rPr>
          <w:vertAlign w:val="superscript"/>
        </w:rPr>
        <w:t>-2</w:t>
      </w:r>
      <w:r w:rsidR="009604BE">
        <w:t xml:space="preserve">, with S7 in OR1-1242 having the lowest abundance of 4,626.10 </w:t>
      </w:r>
      <w:r w:rsidR="009604BE">
        <w:rPr>
          <w:rFonts w:cstheme="minorHAnsi"/>
        </w:rPr>
        <w:t>±</w:t>
      </w:r>
      <w:r w:rsidR="009604BE">
        <w:t xml:space="preserve"> 265.05 ind. m</w:t>
      </w:r>
      <w:r w:rsidR="009604BE" w:rsidRPr="009604BE">
        <w:rPr>
          <w:vertAlign w:val="superscript"/>
        </w:rPr>
        <w:t>-2</w:t>
      </w:r>
      <w:r w:rsidR="009604BE">
        <w:rPr>
          <w:vertAlign w:val="superscript"/>
        </w:rPr>
        <w:t xml:space="preserve"> </w:t>
      </w:r>
      <w:r w:rsidR="009604BE" w:rsidRPr="009604BE">
        <w:t>and</w:t>
      </w:r>
      <w:r w:rsidR="009604BE">
        <w:rPr>
          <w:vertAlign w:val="superscript"/>
        </w:rPr>
        <w:t xml:space="preserve"> </w:t>
      </w:r>
      <w:r w:rsidR="009604BE">
        <w:t xml:space="preserve">S3 in OR1-1219 having the highest abundance of 19,480.57 </w:t>
      </w:r>
      <w:r w:rsidR="009604BE">
        <w:rPr>
          <w:rFonts w:cstheme="minorHAnsi"/>
        </w:rPr>
        <w:t xml:space="preserve">± 1,836.29 </w:t>
      </w:r>
      <w:r w:rsidR="009604BE">
        <w:t>ind. m</w:t>
      </w:r>
      <w:r w:rsidR="009604BE" w:rsidRPr="009604BE">
        <w:rPr>
          <w:vertAlign w:val="superscript"/>
        </w:rPr>
        <w:t>-2</w:t>
      </w:r>
      <w:r w:rsidR="00B0769A">
        <w:rPr>
          <w:vertAlign w:val="superscript"/>
        </w:rPr>
        <w:t xml:space="preserve"> </w:t>
      </w:r>
      <w:r w:rsidR="00B0769A" w:rsidRPr="00B0769A">
        <w:rPr>
          <w:color w:val="FF0000"/>
        </w:rPr>
        <w:t xml:space="preserve">(figure </w:t>
      </w:r>
      <w:r w:rsidR="00003F9B">
        <w:rPr>
          <w:color w:val="FF0000"/>
        </w:rPr>
        <w:t>7</w:t>
      </w:r>
      <w:r w:rsidR="00B0769A" w:rsidRPr="00B0769A">
        <w:rPr>
          <w:color w:val="FF0000"/>
        </w:rPr>
        <w:t>)</w:t>
      </w:r>
      <w:r w:rsidR="009604BE">
        <w:t xml:space="preserve">. </w:t>
      </w:r>
      <w:r>
        <w:t>The average biomass</w:t>
      </w:r>
      <w:r w:rsidR="009604BE">
        <w:t xml:space="preserve">, on the other hand, </w:t>
      </w:r>
      <w:r>
        <w:t>was</w:t>
      </w:r>
      <w:r w:rsidR="00DF48EC" w:rsidRPr="00DF48EC">
        <w:t xml:space="preserve"> 29.93</w:t>
      </w:r>
      <w:r w:rsidR="00DF48EC">
        <w:t xml:space="preserve"> </w:t>
      </w:r>
      <w:r w:rsidR="00DF48EC">
        <w:rPr>
          <w:rFonts w:cstheme="minorHAnsi"/>
        </w:rPr>
        <w:t xml:space="preserve">± </w:t>
      </w:r>
      <w:r w:rsidR="00DF48EC" w:rsidRPr="00DF48EC">
        <w:rPr>
          <w:rFonts w:cstheme="minorHAnsi"/>
        </w:rPr>
        <w:t>34.04</w:t>
      </w:r>
      <w:r w:rsidR="00DF48EC">
        <w:t xml:space="preserve"> </w:t>
      </w:r>
      <w:r w:rsidR="009604BE">
        <w:t>g m</w:t>
      </w:r>
      <w:r w:rsidR="009604BE" w:rsidRPr="009604BE">
        <w:rPr>
          <w:vertAlign w:val="superscript"/>
        </w:rPr>
        <w:t>-2</w:t>
      </w:r>
      <w:r w:rsidR="00D24CBE">
        <w:t xml:space="preserve">, with </w:t>
      </w:r>
      <w:r w:rsidR="00C40620">
        <w:t xml:space="preserve">S3 in OR1-1242 having the lowest biomass of 1.74 </w:t>
      </w:r>
      <w:r w:rsidR="00C40620">
        <w:rPr>
          <w:rFonts w:cstheme="minorHAnsi"/>
        </w:rPr>
        <w:t>± 0.81 g m</w:t>
      </w:r>
      <w:r w:rsidR="00C40620" w:rsidRPr="00C40620">
        <w:rPr>
          <w:rFonts w:cstheme="minorHAnsi"/>
          <w:vertAlign w:val="superscript"/>
        </w:rPr>
        <w:t>-2</w:t>
      </w:r>
      <w:r w:rsidR="00C40620">
        <w:rPr>
          <w:rFonts w:cstheme="minorHAnsi"/>
        </w:rPr>
        <w:t xml:space="preserve"> and S1 in OR1-1242 having the highest biomass of 93.61 ± 13.04 g m</w:t>
      </w:r>
      <w:r w:rsidR="00C40620" w:rsidRPr="00C40620">
        <w:rPr>
          <w:rFonts w:cstheme="minorHAnsi"/>
          <w:vertAlign w:val="superscript"/>
        </w:rPr>
        <w:t>-2</w:t>
      </w:r>
      <w:r w:rsidR="009604BE">
        <w:t xml:space="preserve">. </w:t>
      </w:r>
      <w:r w:rsidR="00BB07B7">
        <w:t xml:space="preserve">The average TOU in the present study is </w:t>
      </w:r>
      <w:r w:rsidR="00BB07B7" w:rsidRPr="00BB07B7">
        <w:t>15.59</w:t>
      </w:r>
      <w:r w:rsidR="00BB07B7">
        <w:t xml:space="preserve"> </w:t>
      </w:r>
      <w:r w:rsidR="00BB07B7">
        <w:rPr>
          <w:rFonts w:cstheme="minorHAnsi"/>
        </w:rPr>
        <w:t xml:space="preserve">± </w:t>
      </w:r>
      <w:r w:rsidR="00BB07B7" w:rsidRPr="00BB07B7">
        <w:rPr>
          <w:rFonts w:cstheme="minorHAnsi"/>
        </w:rPr>
        <w:t>7.37</w:t>
      </w:r>
      <w:r w:rsidR="00BB07B7">
        <w:rPr>
          <w:rFonts w:cstheme="minorHAnsi"/>
        </w:rPr>
        <w:t xml:space="preserve"> mmol O</w:t>
      </w:r>
      <w:r w:rsidR="00BB07B7" w:rsidRPr="00BB07B7">
        <w:rPr>
          <w:rFonts w:cstheme="minorHAnsi"/>
          <w:vertAlign w:val="subscript"/>
        </w:rPr>
        <w:t>2</w:t>
      </w:r>
      <w:r w:rsidR="00BB07B7">
        <w:rPr>
          <w:rFonts w:cstheme="minorHAnsi"/>
        </w:rPr>
        <w:t xml:space="preserve"> m</w:t>
      </w:r>
      <w:r w:rsidR="00BB07B7" w:rsidRPr="00BB07B7">
        <w:rPr>
          <w:rFonts w:cstheme="minorHAnsi"/>
          <w:vertAlign w:val="superscript"/>
        </w:rPr>
        <w:t>-2</w:t>
      </w:r>
      <w:r w:rsidR="00BB07B7">
        <w:rPr>
          <w:rFonts w:cstheme="minorHAnsi"/>
        </w:rPr>
        <w:t xml:space="preserve"> d</w:t>
      </w:r>
      <w:r w:rsidR="00BB07B7" w:rsidRPr="00BB07B7">
        <w:rPr>
          <w:rFonts w:cstheme="minorHAnsi"/>
          <w:vertAlign w:val="superscript"/>
        </w:rPr>
        <w:t>-1</w:t>
      </w:r>
      <w:r w:rsidR="00BB07B7">
        <w:rPr>
          <w:rFonts w:cstheme="minorHAnsi"/>
        </w:rPr>
        <w:t xml:space="preserve">, with S5 in OR1-1219 having </w:t>
      </w:r>
      <w:r w:rsidR="003B333C">
        <w:rPr>
          <w:rFonts w:cstheme="minorHAnsi"/>
        </w:rPr>
        <w:t>7.97 ± 0.90 mmol O</w:t>
      </w:r>
      <w:r w:rsidR="003B333C" w:rsidRPr="00BB07B7">
        <w:rPr>
          <w:rFonts w:cstheme="minorHAnsi"/>
          <w:vertAlign w:val="subscript"/>
        </w:rPr>
        <w:t>2</w:t>
      </w:r>
      <w:r w:rsidR="003B333C">
        <w:rPr>
          <w:rFonts w:cstheme="minorHAnsi"/>
        </w:rPr>
        <w:t xml:space="preserve"> m</w:t>
      </w:r>
      <w:r w:rsidR="003B333C" w:rsidRPr="00BB07B7">
        <w:rPr>
          <w:rFonts w:cstheme="minorHAnsi"/>
          <w:vertAlign w:val="superscript"/>
        </w:rPr>
        <w:t>-2</w:t>
      </w:r>
      <w:r w:rsidR="003B333C">
        <w:rPr>
          <w:rFonts w:cstheme="minorHAnsi"/>
        </w:rPr>
        <w:t xml:space="preserve"> d</w:t>
      </w:r>
      <w:r w:rsidR="003B333C" w:rsidRPr="00BB07B7">
        <w:rPr>
          <w:rFonts w:cstheme="minorHAnsi"/>
          <w:vertAlign w:val="superscript"/>
        </w:rPr>
        <w:t>-1</w:t>
      </w:r>
      <w:r w:rsidR="003B333C">
        <w:rPr>
          <w:rFonts w:cstheme="minorHAnsi"/>
          <w:vertAlign w:val="superscript"/>
        </w:rPr>
        <w:t xml:space="preserve"> </w:t>
      </w:r>
      <w:r w:rsidR="00BB07B7">
        <w:rPr>
          <w:rFonts w:cstheme="minorHAnsi"/>
        </w:rPr>
        <w:t>and S3 in OR1-1242 having 29.15 ± 2.58 mmol O</w:t>
      </w:r>
      <w:r w:rsidR="00BB07B7" w:rsidRPr="00BB07B7">
        <w:rPr>
          <w:rFonts w:cstheme="minorHAnsi"/>
          <w:vertAlign w:val="subscript"/>
        </w:rPr>
        <w:t>2</w:t>
      </w:r>
      <w:r w:rsidR="00BB07B7">
        <w:rPr>
          <w:rFonts w:cstheme="minorHAnsi"/>
        </w:rPr>
        <w:t xml:space="preserve"> m</w:t>
      </w:r>
      <w:r w:rsidR="00BB07B7" w:rsidRPr="00BB07B7">
        <w:rPr>
          <w:rFonts w:cstheme="minorHAnsi"/>
          <w:vertAlign w:val="superscript"/>
        </w:rPr>
        <w:t>-2</w:t>
      </w:r>
      <w:r w:rsidR="00BB07B7">
        <w:rPr>
          <w:rFonts w:cstheme="minorHAnsi"/>
        </w:rPr>
        <w:t xml:space="preserve"> d</w:t>
      </w:r>
      <w:r w:rsidR="00BB07B7" w:rsidRPr="00BB07B7">
        <w:rPr>
          <w:rFonts w:cstheme="minorHAnsi"/>
          <w:vertAlign w:val="superscript"/>
        </w:rPr>
        <w:t>-1</w:t>
      </w:r>
      <w:r w:rsidR="00BB07B7">
        <w:rPr>
          <w:rFonts w:cstheme="minorHAnsi"/>
        </w:rPr>
        <w:t>.</w:t>
      </w:r>
    </w:p>
    <w:p w14:paraId="39413361" w14:textId="33B39F7F" w:rsidR="00EE56E2" w:rsidRDefault="00A06A9E" w:rsidP="002D0795">
      <w:r>
        <w:t xml:space="preserve">The averaged models of macrofauna abundance, biomass, and sediment TOU showed strong spatiotemporal variations </w:t>
      </w:r>
      <w:r w:rsidRPr="00A06A9E">
        <w:rPr>
          <w:color w:val="FF0000"/>
        </w:rPr>
        <w:t>(table 2)</w:t>
      </w:r>
      <w:r>
        <w:t>.</w:t>
      </w:r>
      <w:r w:rsidR="0011500B">
        <w:t xml:space="preserve"> </w:t>
      </w:r>
      <w:r w:rsidR="009D795B">
        <w:t>In</w:t>
      </w:r>
      <w:r w:rsidR="006654FC">
        <w:t xml:space="preserve"> the averaged macrofauna abundance model, t</w:t>
      </w:r>
      <w:r w:rsidR="00EE56E2">
        <w:t xml:space="preserve">here </w:t>
      </w:r>
      <w:r w:rsidR="004B44E5">
        <w:t xml:space="preserve">was </w:t>
      </w:r>
      <w:r w:rsidR="00EE56E2">
        <w:t xml:space="preserve">very strong evidence </w:t>
      </w:r>
      <w:r w:rsidR="00861E01">
        <w:t>that</w:t>
      </w:r>
      <w:r w:rsidR="003F5481">
        <w:t xml:space="preserve"> macrofauna</w:t>
      </w:r>
      <w:r w:rsidR="00861E01">
        <w:t xml:space="preserve"> abundance </w:t>
      </w:r>
      <w:r w:rsidR="005E2050">
        <w:t xml:space="preserve">varies </w:t>
      </w:r>
      <w:r w:rsidR="003F5481">
        <w:t>with</w:t>
      </w:r>
      <w:r w:rsidR="00861E01">
        <w:t xml:space="preserve"> </w:t>
      </w:r>
      <w:r w:rsidR="00DA33DA">
        <w:t>C</w:t>
      </w:r>
      <w:r w:rsidR="00EE56E2">
        <w:t>ruise (</w:t>
      </w:r>
      <w:r w:rsidR="005E2050">
        <w:rPr>
          <w:rFonts w:cstheme="minorHAnsi"/>
        </w:rPr>
        <w:t>β</w:t>
      </w:r>
      <w:r w:rsidR="005E2050">
        <w:t xml:space="preserve"> = -0.2413, </w:t>
      </w:r>
      <w:r w:rsidR="00EE56E2">
        <w:t>p &lt; 0.0001)</w:t>
      </w:r>
      <w:r w:rsidR="00342473">
        <w:t xml:space="preserve">, </w:t>
      </w:r>
      <w:r w:rsidR="00EE56E2">
        <w:t>DRM (</w:t>
      </w:r>
      <w:r w:rsidR="005E2050">
        <w:rPr>
          <w:rFonts w:cstheme="minorHAnsi"/>
        </w:rPr>
        <w:t>β</w:t>
      </w:r>
      <w:r w:rsidR="005E2050">
        <w:t xml:space="preserve"> = -0.1512, </w:t>
      </w:r>
      <w:r w:rsidR="00EE56E2">
        <w:t xml:space="preserve">p </w:t>
      </w:r>
      <w:r w:rsidR="00757517">
        <w:t>=</w:t>
      </w:r>
      <w:r w:rsidR="00EE56E2">
        <w:t xml:space="preserve"> 0.0001)</w:t>
      </w:r>
      <w:r w:rsidR="003F5481">
        <w:t xml:space="preserve">, </w:t>
      </w:r>
      <w:r w:rsidR="00342473">
        <w:t xml:space="preserve">and </w:t>
      </w:r>
      <w:r w:rsidR="00DA33DA">
        <w:t>C</w:t>
      </w:r>
      <w:r w:rsidR="003F5481">
        <w:t xml:space="preserve">ruise-DRM </w:t>
      </w:r>
      <w:r w:rsidR="00757517">
        <w:t>interaction</w:t>
      </w:r>
      <w:r w:rsidR="003F5481">
        <w:t xml:space="preserve"> </w:t>
      </w:r>
      <w:r w:rsidR="00757517">
        <w:t>(</w:t>
      </w:r>
      <w:r w:rsidR="005E2050">
        <w:rPr>
          <w:rFonts w:cstheme="minorHAnsi"/>
        </w:rPr>
        <w:t>β</w:t>
      </w:r>
      <w:r w:rsidR="005E2050">
        <w:t xml:space="preserve"> = 0.1555, </w:t>
      </w:r>
      <w:r w:rsidR="00757517">
        <w:t>p = 0.0001).</w:t>
      </w:r>
      <w:r w:rsidR="00D141F1">
        <w:t xml:space="preserve"> </w:t>
      </w:r>
      <w:r w:rsidR="00757517">
        <w:t xml:space="preserve">There was strong evidence </w:t>
      </w:r>
      <w:r w:rsidR="00566772">
        <w:t>of</w:t>
      </w:r>
      <w:r w:rsidR="00757517">
        <w:t xml:space="preserve"> </w:t>
      </w:r>
      <w:r w:rsidR="00B2762C">
        <w:t>C</w:t>
      </w:r>
      <w:r w:rsidR="00757517">
        <w:t>ruise-</w:t>
      </w:r>
      <w:r w:rsidR="00B2762C">
        <w:t>D</w:t>
      </w:r>
      <w:r w:rsidR="00757517">
        <w:t>epth interaction (</w:t>
      </w:r>
      <w:r w:rsidR="00D141F1">
        <w:rPr>
          <w:rFonts w:cstheme="minorHAnsi"/>
        </w:rPr>
        <w:t>β = 0.1238</w:t>
      </w:r>
      <w:r w:rsidR="00D141F1">
        <w:t xml:space="preserve">, </w:t>
      </w:r>
      <w:r w:rsidR="00757517">
        <w:t>p = 0.0036)</w:t>
      </w:r>
      <w:r w:rsidR="00DA3CE4">
        <w:t xml:space="preserve">, </w:t>
      </w:r>
      <w:r w:rsidR="00757517">
        <w:t xml:space="preserve">moderate </w:t>
      </w:r>
      <w:r w:rsidR="00757517">
        <w:rPr>
          <w:rFonts w:hint="eastAsia"/>
        </w:rPr>
        <w:t>e</w:t>
      </w:r>
      <w:r w:rsidR="00757517">
        <w:t xml:space="preserve">vidence </w:t>
      </w:r>
      <w:r w:rsidR="00566772">
        <w:t xml:space="preserve">of </w:t>
      </w:r>
      <w:r w:rsidR="0043499F">
        <w:t>D</w:t>
      </w:r>
      <w:r w:rsidR="00757517">
        <w:t>epth-DRM interaction</w:t>
      </w:r>
      <w:r w:rsidR="00D141F1">
        <w:t xml:space="preserve"> (</w:t>
      </w:r>
      <w:r w:rsidR="00D141F1">
        <w:rPr>
          <w:rFonts w:cstheme="minorHAnsi"/>
        </w:rPr>
        <w:t>β = 0.0618, p = 0.0265</w:t>
      </w:r>
      <w:r w:rsidR="00D141F1">
        <w:t>)</w:t>
      </w:r>
      <w:r w:rsidR="00DA3CE4">
        <w:t>,</w:t>
      </w:r>
      <w:r w:rsidR="00757517">
        <w:t xml:space="preserve"> and weak evidence </w:t>
      </w:r>
      <w:r w:rsidR="00566772">
        <w:t xml:space="preserve">of </w:t>
      </w:r>
      <w:r w:rsidR="00E75A17">
        <w:t>D</w:t>
      </w:r>
      <w:r w:rsidR="00757517">
        <w:t>epth (</w:t>
      </w:r>
      <w:r w:rsidR="002C0BFE">
        <w:rPr>
          <w:rFonts w:cstheme="minorHAnsi"/>
        </w:rPr>
        <w:t>β = -0.0632</w:t>
      </w:r>
      <w:r w:rsidR="002C0BFE">
        <w:t xml:space="preserve">, </w:t>
      </w:r>
      <w:r w:rsidR="00757517">
        <w:t>p = 0.0551)</w:t>
      </w:r>
      <w:r w:rsidR="00342473">
        <w:t xml:space="preserve"> </w:t>
      </w:r>
      <w:r w:rsidR="009D5234">
        <w:t xml:space="preserve">affecting </w:t>
      </w:r>
      <w:r w:rsidR="00566772">
        <w:t xml:space="preserve">macrofauna </w:t>
      </w:r>
      <w:r w:rsidR="00342473">
        <w:t>abundance</w:t>
      </w:r>
      <w:r w:rsidR="00757517">
        <w:t>.</w:t>
      </w:r>
      <w:r w:rsidR="00342473">
        <w:t xml:space="preserve"> In the averaged macrofauna biomass model, there was very strong evidence </w:t>
      </w:r>
      <w:r w:rsidR="0020647B">
        <w:t xml:space="preserve">that macrofauna biomass varies with </w:t>
      </w:r>
      <w:r w:rsidR="0006386B">
        <w:t>Cruise</w:t>
      </w:r>
      <w:r w:rsidR="0006386B">
        <w:rPr>
          <w:rFonts w:hint="eastAsia"/>
        </w:rPr>
        <w:t>-</w:t>
      </w:r>
      <w:r w:rsidR="0006386B">
        <w:t>DRM interaction (</w:t>
      </w:r>
      <w:r w:rsidR="0006386B">
        <w:rPr>
          <w:rFonts w:cstheme="minorHAnsi"/>
        </w:rPr>
        <w:t>β = 0.7440, p = 0.0007</w:t>
      </w:r>
      <w:r w:rsidR="0006386B">
        <w:t>). There was moderate evidence in DRM on macrofauna biomass</w:t>
      </w:r>
      <w:r w:rsidR="004546F0">
        <w:t xml:space="preserve"> (</w:t>
      </w:r>
      <w:r w:rsidR="004546F0">
        <w:rPr>
          <w:rFonts w:cstheme="minorHAnsi"/>
        </w:rPr>
        <w:t>β = -0.3395, p = 0.0484</w:t>
      </w:r>
      <w:r w:rsidR="004546F0">
        <w:t>)</w:t>
      </w:r>
      <w:r w:rsidR="0006386B">
        <w:t>. There was no evidence in Cruise on macrofauna biomass (</w:t>
      </w:r>
      <w:r w:rsidR="0006386B">
        <w:rPr>
          <w:rFonts w:cstheme="minorHAnsi"/>
        </w:rPr>
        <w:t>β = 0.17, p = 0.4054</w:t>
      </w:r>
      <w:r w:rsidR="0006386B">
        <w:t>).</w:t>
      </w:r>
      <w:r w:rsidR="00AA15BF">
        <w:t xml:space="preserve"> In the averaged TOU model, there was strong evidence in Cruise</w:t>
      </w:r>
      <w:r w:rsidR="00BF490D">
        <w:t xml:space="preserve"> (</w:t>
      </w:r>
      <w:r w:rsidR="00BF490D">
        <w:rPr>
          <w:rFonts w:cstheme="minorHAnsi"/>
        </w:rPr>
        <w:t>β = 4.4799, p = 0.0137</w:t>
      </w:r>
      <w:r w:rsidR="00BF490D">
        <w:t>)</w:t>
      </w:r>
      <w:r w:rsidR="00AA15BF">
        <w:t xml:space="preserve">, </w:t>
      </w:r>
      <w:r w:rsidR="00BF490D">
        <w:t>DRM (</w:t>
      </w:r>
      <w:r w:rsidR="00BF490D">
        <w:rPr>
          <w:rFonts w:cstheme="minorHAnsi"/>
        </w:rPr>
        <w:t>β = -2.3824, p = 0.0200</w:t>
      </w:r>
      <w:r w:rsidR="00BF490D">
        <w:t>)</w:t>
      </w:r>
      <w:r w:rsidR="00AA15BF">
        <w:t xml:space="preserve">, and </w:t>
      </w:r>
      <w:r w:rsidR="00BF490D">
        <w:t>Cruise-Depth interactions (</w:t>
      </w:r>
      <w:r w:rsidR="00BF490D">
        <w:rPr>
          <w:rFonts w:cstheme="minorHAnsi"/>
        </w:rPr>
        <w:t xml:space="preserve">β </w:t>
      </w:r>
      <w:r w:rsidR="00BF490D">
        <w:rPr>
          <w:rFonts w:cstheme="minorHAnsi"/>
        </w:rPr>
        <w:lastRenderedPageBreak/>
        <w:t>= -4.2756, p = 0.0393</w:t>
      </w:r>
      <w:r w:rsidR="00BF490D">
        <w:t>)</w:t>
      </w:r>
      <w:r w:rsidR="00AA15BF">
        <w:t>.</w:t>
      </w:r>
      <w:r w:rsidR="00BF490D">
        <w:t xml:space="preserve"> On the other hand, Depth alone has little evidence on macrofauna biomass (</w:t>
      </w:r>
      <w:r w:rsidR="00BF490D">
        <w:rPr>
          <w:rFonts w:cstheme="minorHAnsi"/>
        </w:rPr>
        <w:t>β = -2.5605, p = 0.1572</w:t>
      </w:r>
      <w:r w:rsidR="00BF490D">
        <w:t xml:space="preserve">). </w:t>
      </w:r>
      <w:r w:rsidR="00EE56E2">
        <w:t>The model average results of the spatiotemporal patterns generally echoed with the scatterplot</w:t>
      </w:r>
      <w:r>
        <w:t xml:space="preserve">, with obvious interactions between spatial (DRM and depth) and temporal factors (cruise) </w:t>
      </w:r>
      <w:r w:rsidR="00EE56E2" w:rsidRPr="00EE56E2">
        <w:rPr>
          <w:color w:val="FF0000"/>
        </w:rPr>
        <w:t xml:space="preserve">(figure </w:t>
      </w:r>
      <w:r w:rsidR="00003F9B">
        <w:rPr>
          <w:color w:val="FF0000"/>
        </w:rPr>
        <w:t>7</w:t>
      </w:r>
      <w:r w:rsidR="00EE56E2" w:rsidRPr="00EE56E2">
        <w:rPr>
          <w:color w:val="FF0000"/>
        </w:rPr>
        <w:t>)</w:t>
      </w:r>
      <w:r w:rsidR="00EE56E2">
        <w:t>.</w:t>
      </w:r>
    </w:p>
    <w:p w14:paraId="3BEAC091" w14:textId="72CC2743" w:rsidR="00CF1135" w:rsidRPr="004E22B6" w:rsidRDefault="00AD72BE" w:rsidP="002D0795">
      <w:r>
        <w:t xml:space="preserve">Model averaging results revealed that the seafloor environment notably influenced macrofauna abundance, biomass, and sediment TOU </w:t>
      </w:r>
      <w:r w:rsidR="00CF1135" w:rsidRPr="00CF1135">
        <w:rPr>
          <w:color w:val="FF0000"/>
        </w:rPr>
        <w:t>(table 3)</w:t>
      </w:r>
      <w:r w:rsidR="00CF1135">
        <w:t>.</w:t>
      </w:r>
      <w:r>
        <w:t xml:space="preserve"> </w:t>
      </w:r>
      <w:r w:rsidR="00297D73">
        <w:t xml:space="preserve">In the averaged abundance model, </w:t>
      </w:r>
      <w:r w:rsidR="00297D73" w:rsidRPr="008B5C54">
        <w:rPr>
          <w:i/>
        </w:rPr>
        <w:t>CN</w:t>
      </w:r>
      <w:r w:rsidR="00297D73">
        <w:t xml:space="preserve"> (</w:t>
      </w:r>
      <w:r w:rsidR="00297D73">
        <w:rPr>
          <w:rFonts w:cstheme="minorHAnsi"/>
        </w:rPr>
        <w:t>β = 0.1054, p &lt; 0.0001</w:t>
      </w:r>
      <w:r w:rsidR="00297D73">
        <w:t xml:space="preserve">), </w:t>
      </w:r>
      <w:r w:rsidR="00297D73" w:rsidRPr="008B5C54">
        <w:rPr>
          <w:i/>
        </w:rPr>
        <w:t>D50</w:t>
      </w:r>
      <w:r w:rsidR="00297D73">
        <w:t xml:space="preserve"> (</w:t>
      </w:r>
      <w:r w:rsidR="00297D73">
        <w:rPr>
          <w:rFonts w:cstheme="minorHAnsi"/>
        </w:rPr>
        <w:t>β = -0.0687, p = 0.0001</w:t>
      </w:r>
      <w:r w:rsidR="00297D73">
        <w:t xml:space="preserve">), and </w:t>
      </w:r>
      <w:r w:rsidR="00297D73" w:rsidRPr="008B5C54">
        <w:rPr>
          <w:i/>
        </w:rPr>
        <w:t>TOC</w:t>
      </w:r>
      <w:r w:rsidR="00297D73">
        <w:t xml:space="preserve"> (</w:t>
      </w:r>
      <w:r w:rsidR="00297D73">
        <w:rPr>
          <w:rFonts w:cstheme="minorHAnsi"/>
        </w:rPr>
        <w:t>β = 0.2143, p &lt; 0.0001</w:t>
      </w:r>
      <w:r w:rsidR="00297D73">
        <w:t xml:space="preserve">) had very strong evidence on affecting macrofauna abundance. There was strong evidence that </w:t>
      </w:r>
      <w:r w:rsidR="00297D73" w:rsidRPr="008B5C54">
        <w:rPr>
          <w:i/>
        </w:rPr>
        <w:t>Por</w:t>
      </w:r>
      <w:r w:rsidR="008B5C54">
        <w:t xml:space="preserve"> (</w:t>
      </w:r>
      <w:r w:rsidR="008B5C54">
        <w:rPr>
          <w:rFonts w:cstheme="minorHAnsi"/>
        </w:rPr>
        <w:t>β</w:t>
      </w:r>
      <w:r w:rsidR="008B5C54">
        <w:t xml:space="preserve"> = -0.1542, p = 0.0023) </w:t>
      </w:r>
      <w:r w:rsidR="00297D73">
        <w:t xml:space="preserve">and </w:t>
      </w:r>
      <w:r w:rsidR="00297D73" w:rsidRPr="008B5C54">
        <w:rPr>
          <w:i/>
        </w:rPr>
        <w:t>Temp</w:t>
      </w:r>
      <w:r w:rsidR="008B5C54">
        <w:rPr>
          <w:rFonts w:hint="eastAsia"/>
        </w:rPr>
        <w:t xml:space="preserve"> (</w:t>
      </w:r>
      <w:r w:rsidR="008B5C54">
        <w:rPr>
          <w:rFonts w:cstheme="minorHAnsi"/>
        </w:rPr>
        <w:t>β</w:t>
      </w:r>
      <w:r w:rsidR="008B5C54">
        <w:rPr>
          <w:rFonts w:hint="eastAsia"/>
        </w:rPr>
        <w:t xml:space="preserve"> = </w:t>
      </w:r>
      <w:r w:rsidR="008B5C54">
        <w:t>0.0713</w:t>
      </w:r>
      <w:r w:rsidR="008B5C54">
        <w:rPr>
          <w:rFonts w:hint="eastAsia"/>
        </w:rPr>
        <w:t>,</w:t>
      </w:r>
      <w:r w:rsidR="008B5C54">
        <w:t xml:space="preserve"> p = 0.0067</w:t>
      </w:r>
      <w:r w:rsidR="008B5C54">
        <w:rPr>
          <w:rFonts w:hint="eastAsia"/>
        </w:rPr>
        <w:t xml:space="preserve">) </w:t>
      </w:r>
      <w:r w:rsidR="008B5C54">
        <w:t>negatively and positively affecting abundance, respectively.</w:t>
      </w:r>
      <w:r w:rsidR="00622EA4">
        <w:t xml:space="preserve"> There was moderate evidence on </w:t>
      </w:r>
      <w:r w:rsidR="00622EA4" w:rsidRPr="00184F99">
        <w:rPr>
          <w:i/>
        </w:rPr>
        <w:t>Chla</w:t>
      </w:r>
      <w:r w:rsidR="00622EA4">
        <w:t xml:space="preserve"> negatively</w:t>
      </w:r>
      <w:r w:rsidR="00184F99">
        <w:t xml:space="preserve"> on</w:t>
      </w:r>
      <w:r w:rsidR="00622EA4">
        <w:t xml:space="preserve"> affecting macrofauna abundance (</w:t>
      </w:r>
      <w:r w:rsidR="00622EA4">
        <w:rPr>
          <w:rFonts w:cstheme="minorHAnsi"/>
        </w:rPr>
        <w:t>β = -0.0743, p = 0.0329</w:t>
      </w:r>
      <w:r w:rsidR="00622EA4">
        <w:t>).</w:t>
      </w:r>
      <w:r w:rsidR="00CF1135">
        <w:t xml:space="preserve"> </w:t>
      </w:r>
      <w:r w:rsidR="00184F99">
        <w:t xml:space="preserve">In the averaged biomass model, </w:t>
      </w:r>
      <w:r w:rsidR="00184F99" w:rsidRPr="00184F99">
        <w:rPr>
          <w:i/>
        </w:rPr>
        <w:t>Chla</w:t>
      </w:r>
      <w:r w:rsidR="00184F99">
        <w:t xml:space="preserve"> (</w:t>
      </w:r>
      <w:r w:rsidR="00184F99">
        <w:rPr>
          <w:rFonts w:cstheme="minorHAnsi"/>
        </w:rPr>
        <w:t>β = -0.9165, p = 0.0055</w:t>
      </w:r>
      <w:r w:rsidR="00184F99">
        <w:t xml:space="preserve">), </w:t>
      </w:r>
      <w:r w:rsidR="00184F99" w:rsidRPr="00184F99">
        <w:rPr>
          <w:i/>
        </w:rPr>
        <w:t>CN</w:t>
      </w:r>
      <w:r w:rsidR="00184F99">
        <w:t xml:space="preserve"> (</w:t>
      </w:r>
      <w:r w:rsidR="00184F99">
        <w:rPr>
          <w:rFonts w:cstheme="minorHAnsi"/>
        </w:rPr>
        <w:t>β = -0.8093, p = 0.0037</w:t>
      </w:r>
      <w:r w:rsidR="00184F99">
        <w:t xml:space="preserve">), and </w:t>
      </w:r>
      <w:r w:rsidR="00184F99" w:rsidRPr="00B632AB">
        <w:rPr>
          <w:i/>
        </w:rPr>
        <w:t>Temp</w:t>
      </w:r>
      <w:r w:rsidR="00184F99">
        <w:t xml:space="preserve"> </w:t>
      </w:r>
      <w:r w:rsidR="000F761E">
        <w:t>(</w:t>
      </w:r>
      <w:r w:rsidR="000F761E">
        <w:rPr>
          <w:rFonts w:cstheme="minorHAnsi"/>
        </w:rPr>
        <w:t>β = 0.5190, p = 0.0086</w:t>
      </w:r>
      <w:r w:rsidR="000F761E">
        <w:t xml:space="preserve">) </w:t>
      </w:r>
      <w:r w:rsidR="00184F99">
        <w:t>had strong evidence on affecting macrofauna biomass.</w:t>
      </w:r>
      <w:r w:rsidR="00056F8E">
        <w:t xml:space="preserve"> </w:t>
      </w:r>
      <w:r w:rsidR="00184934">
        <w:t xml:space="preserve">The data revealed </w:t>
      </w:r>
      <w:r w:rsidR="00056F8E">
        <w:t xml:space="preserve">moderate evidence </w:t>
      </w:r>
      <w:r w:rsidR="00184934">
        <w:t xml:space="preserve">that </w:t>
      </w:r>
      <w:r w:rsidR="00DF74EA">
        <w:t>macrofauna biomass</w:t>
      </w:r>
      <w:r w:rsidR="00DF74EA" w:rsidRPr="00184934">
        <w:rPr>
          <w:i/>
        </w:rPr>
        <w:t xml:space="preserve"> </w:t>
      </w:r>
      <w:r w:rsidR="00DF74EA" w:rsidRPr="00DF74EA">
        <w:t>was positive associated with</w:t>
      </w:r>
      <w:r w:rsidR="00DF74EA">
        <w:rPr>
          <w:i/>
        </w:rPr>
        <w:t xml:space="preserve"> </w:t>
      </w:r>
      <w:r w:rsidR="00184934" w:rsidRPr="00184934">
        <w:rPr>
          <w:i/>
        </w:rPr>
        <w:t>D50</w:t>
      </w:r>
      <w:r w:rsidR="00184934">
        <w:t xml:space="preserve"> (</w:t>
      </w:r>
      <w:r w:rsidR="00184934">
        <w:rPr>
          <w:rFonts w:cstheme="minorHAnsi"/>
        </w:rPr>
        <w:t>β = 0.3918, p = 0.0251</w:t>
      </w:r>
      <w:r w:rsidR="00184934">
        <w:t xml:space="preserve">) and </w:t>
      </w:r>
      <w:r w:rsidR="00184934" w:rsidRPr="00DF74EA">
        <w:rPr>
          <w:i/>
        </w:rPr>
        <w:t>TOC</w:t>
      </w:r>
      <w:r w:rsidR="00184934">
        <w:t xml:space="preserve"> </w:t>
      </w:r>
      <w:r w:rsidR="00DF74EA">
        <w:t>(</w:t>
      </w:r>
      <w:r w:rsidR="00DF74EA">
        <w:rPr>
          <w:rFonts w:cstheme="minorHAnsi"/>
        </w:rPr>
        <w:t>β = 1.7240, p = 0.0272</w:t>
      </w:r>
      <w:r w:rsidR="00DF74EA">
        <w:t>), while</w:t>
      </w:r>
      <w:r w:rsidR="00DF74EA">
        <w:rPr>
          <w:rFonts w:hint="eastAsia"/>
        </w:rPr>
        <w:t xml:space="preserve"> </w:t>
      </w:r>
      <w:r w:rsidR="00DF74EA">
        <w:t xml:space="preserve">that was negatively associated with </w:t>
      </w:r>
      <w:r w:rsidR="00DF74EA" w:rsidRPr="00184934">
        <w:rPr>
          <w:i/>
        </w:rPr>
        <w:t>Por</w:t>
      </w:r>
      <w:r w:rsidR="00DF74EA">
        <w:t xml:space="preserve"> (</w:t>
      </w:r>
      <w:r w:rsidR="00DF74EA">
        <w:rPr>
          <w:rFonts w:cstheme="minorHAnsi"/>
        </w:rPr>
        <w:t>β = -1.6368, p = 0.0109</w:t>
      </w:r>
      <w:r w:rsidR="00DF74EA">
        <w:t>)</w:t>
      </w:r>
      <w:r w:rsidR="00184934">
        <w:t>.</w:t>
      </w:r>
      <w:r w:rsidR="00DF74EA">
        <w:t xml:space="preserve"> There was weak evidence that </w:t>
      </w:r>
      <w:r w:rsidR="00DF74EA" w:rsidRPr="00DF74EA">
        <w:rPr>
          <w:i/>
        </w:rPr>
        <w:t>Fluo</w:t>
      </w:r>
      <w:r w:rsidR="00DF74EA">
        <w:t xml:space="preserve"> negatively associated with macrofauna biomass (</w:t>
      </w:r>
      <w:r w:rsidR="00DF74EA">
        <w:rPr>
          <w:rFonts w:cstheme="minorHAnsi"/>
        </w:rPr>
        <w:t>β = -0.2033, p = 0.0929</w:t>
      </w:r>
      <w:r w:rsidR="00DF74EA">
        <w:t>).</w:t>
      </w:r>
      <w:r w:rsidR="00942DDC">
        <w:t xml:space="preserve"> </w:t>
      </w:r>
      <w:r w:rsidR="00CF1135">
        <w:t xml:space="preserve">In the averaged TOU model, there was </w:t>
      </w:r>
      <w:r w:rsidR="001B025C">
        <w:t xml:space="preserve">very </w:t>
      </w:r>
      <w:r w:rsidR="00CF1135">
        <w:t>strong evidence that Temp</w:t>
      </w:r>
      <w:r w:rsidR="00697D92">
        <w:t xml:space="preserve"> (</w:t>
      </w:r>
      <w:r w:rsidR="00697D92">
        <w:rPr>
          <w:rFonts w:cstheme="minorHAnsi"/>
        </w:rPr>
        <w:t>β = 5.6855, p &lt; 0.0001</w:t>
      </w:r>
      <w:r w:rsidR="00697D92">
        <w:t>)</w:t>
      </w:r>
      <w:r w:rsidR="00CF1135">
        <w:t>, CN</w:t>
      </w:r>
      <w:r w:rsidR="00697D92">
        <w:t xml:space="preserve"> (</w:t>
      </w:r>
      <w:r w:rsidR="00697D92">
        <w:rPr>
          <w:rFonts w:cstheme="minorHAnsi"/>
        </w:rPr>
        <w:t>β = 8.2232, p</w:t>
      </w:r>
      <w:r w:rsidR="00A75BF6">
        <w:rPr>
          <w:rFonts w:cstheme="minorHAnsi"/>
        </w:rPr>
        <w:t xml:space="preserve"> </w:t>
      </w:r>
      <w:r w:rsidR="00C57AFE">
        <w:rPr>
          <w:rFonts w:cstheme="minorHAnsi" w:hint="eastAsia"/>
        </w:rPr>
        <w:t>&lt; 0</w:t>
      </w:r>
      <w:r w:rsidR="00C57AFE">
        <w:rPr>
          <w:rFonts w:cstheme="minorHAnsi"/>
        </w:rPr>
        <w:t>.0001</w:t>
      </w:r>
      <w:r w:rsidR="00697D92">
        <w:t>)</w:t>
      </w:r>
      <w:r w:rsidR="00CF1135">
        <w:t xml:space="preserve">, </w:t>
      </w:r>
      <w:r w:rsidR="001B025C">
        <w:t xml:space="preserve">and </w:t>
      </w:r>
      <w:r w:rsidR="00CF1135">
        <w:t>Por</w:t>
      </w:r>
      <w:r w:rsidR="001B025C">
        <w:t xml:space="preserve"> </w:t>
      </w:r>
      <w:r w:rsidR="00C57AFE">
        <w:t>(</w:t>
      </w:r>
      <w:r w:rsidR="00C57AFE">
        <w:rPr>
          <w:rFonts w:cstheme="minorHAnsi"/>
        </w:rPr>
        <w:t>β = 14.79884, p &lt; 0.0001</w:t>
      </w:r>
      <w:r w:rsidR="00C57AFE">
        <w:t xml:space="preserve">) </w:t>
      </w:r>
      <w:r w:rsidR="001B025C">
        <w:t>positively influenced TOU</w:t>
      </w:r>
      <w:r w:rsidR="00CF1135">
        <w:t>.</w:t>
      </w:r>
      <w:r w:rsidR="001B025C">
        <w:t xml:space="preserve"> </w:t>
      </w:r>
      <w:r w:rsidR="00315BA3" w:rsidRPr="00315BA3">
        <w:rPr>
          <w:i/>
        </w:rPr>
        <w:t>Chla</w:t>
      </w:r>
      <w:r w:rsidR="00315BA3">
        <w:t xml:space="preserve"> had moderate evidence in positively influencing sediment TOU (</w:t>
      </w:r>
      <w:r w:rsidR="00315BA3">
        <w:rPr>
          <w:rFonts w:cstheme="minorHAnsi"/>
        </w:rPr>
        <w:t>β = 6.8446, p = 0.0005</w:t>
      </w:r>
      <w:r w:rsidR="00315BA3">
        <w:t xml:space="preserve">). The data showed </w:t>
      </w:r>
      <w:r w:rsidR="001B025C">
        <w:t>very strong and strong evidence that TOC (</w:t>
      </w:r>
      <w:r w:rsidR="001B025C">
        <w:rPr>
          <w:rFonts w:cstheme="minorHAnsi"/>
        </w:rPr>
        <w:t>β = -17.4794, p &lt; 0.0001</w:t>
      </w:r>
      <w:r w:rsidR="001B025C">
        <w:t xml:space="preserve">) </w:t>
      </w:r>
      <w:r w:rsidR="001B025C">
        <w:rPr>
          <w:rFonts w:hint="eastAsia"/>
        </w:rPr>
        <w:t>a</w:t>
      </w:r>
      <w:r w:rsidR="001B025C">
        <w:t>nd D50 (</w:t>
      </w:r>
      <w:r w:rsidR="001B025C">
        <w:rPr>
          <w:rFonts w:cstheme="minorHAnsi"/>
        </w:rPr>
        <w:t>β = -4.0338, p = 0.0005</w:t>
      </w:r>
      <w:r w:rsidR="001B025C">
        <w:t>) negatively associated with TOU, respectively.</w:t>
      </w:r>
    </w:p>
    <w:p w14:paraId="11249F6D" w14:textId="730640B8" w:rsidR="0037699D" w:rsidRDefault="0037699D" w:rsidP="00AD42AC">
      <w:pPr>
        <w:pStyle w:val="Title1"/>
      </w:pPr>
      <w:r>
        <w:t>Discussion</w:t>
      </w:r>
    </w:p>
    <w:p w14:paraId="51EDCF26" w14:textId="66A244FB" w:rsidR="0067188B" w:rsidRDefault="004E14CE" w:rsidP="00577380">
      <w:pPr>
        <w:pStyle w:val="Title2"/>
      </w:pPr>
      <w:r>
        <w:lastRenderedPageBreak/>
        <w:t>Study limitation</w:t>
      </w:r>
    </w:p>
    <w:p w14:paraId="2DB47078" w14:textId="5D3CE66D" w:rsidR="00B82CD9" w:rsidRDefault="00B82CD9" w:rsidP="00577380">
      <w:pPr>
        <w:pStyle w:val="Title2"/>
      </w:pPr>
      <w:r>
        <w:t>Physical environment</w:t>
      </w:r>
    </w:p>
    <w:p w14:paraId="1BB4549F" w14:textId="23D38C63" w:rsidR="00C727E8" w:rsidRDefault="00C727E8" w:rsidP="00C727E8">
      <w:pPr>
        <w:pStyle w:val="a3"/>
        <w:numPr>
          <w:ilvl w:val="0"/>
          <w:numId w:val="12"/>
        </w:numPr>
      </w:pPr>
      <w:r>
        <w:t>Porosity</w:t>
      </w:r>
    </w:p>
    <w:p w14:paraId="05BD7900" w14:textId="06E4E22A" w:rsidR="00C727E8" w:rsidRDefault="00C727E8" w:rsidP="00C727E8">
      <w:pPr>
        <w:pStyle w:val="a3"/>
        <w:numPr>
          <w:ilvl w:val="1"/>
          <w:numId w:val="12"/>
        </w:numPr>
      </w:pPr>
      <w:r>
        <w:t>Porosity had a strong negative effect on macrofauna abundance and biomass (table 3).</w:t>
      </w:r>
    </w:p>
    <w:p w14:paraId="42598F64" w14:textId="371CD43C" w:rsidR="007266E1" w:rsidRDefault="003677ED" w:rsidP="00C727E8">
      <w:pPr>
        <w:pStyle w:val="a3"/>
        <w:numPr>
          <w:ilvl w:val="1"/>
          <w:numId w:val="12"/>
        </w:numPr>
      </w:pPr>
      <w:r>
        <w:t xml:space="preserve">In the </w:t>
      </w:r>
      <w:r w:rsidR="00C727E8">
        <w:t>Eel River Continental Shelf</w:t>
      </w:r>
      <w:r w:rsidR="006D37AB">
        <w:t xml:space="preserve">, the macrofauna community experienced a significant loss of abundance </w:t>
      </w:r>
      <w:r w:rsidR="00C727E8">
        <w:t xml:space="preserve">after </w:t>
      </w:r>
      <w:r w:rsidR="006D37AB">
        <w:t>intense sedimentation</w:t>
      </w:r>
      <w:r w:rsidR="00980A9A">
        <w:t xml:space="preserve"> caused by river floods</w:t>
      </w:r>
      <w:r w:rsidR="006D37AB">
        <w:t xml:space="preserve"> </w:t>
      </w:r>
      <w:r w:rsidR="00C727E8">
        <w:fldChar w:fldCharType="begin"/>
      </w:r>
      <w:r w:rsidR="00C727E8">
        <w:instrText xml:space="preserve"> ADDIN ZOTERO_ITEM CSL_CITATION {"citationID":"yAUfP7ux","properties":{"formattedCitation":"(Wheatcroft, 2006)","plainCitation":"(Wheatcroft, 2006)","noteIndex":0},"citationItems":[{"id":1293,"uris":["http://zotero.org/users/6403124/items/4QAWEM8G"],"itemData":{"id":1293,"type":"article-journal","abstract":"Four 70-m stations on the continental shelf oﬀshore from the Eel River (northern California) were occupied at roughly four-month intervals between February 1995 and March 1998, and in August 1999. At each of the stations, proﬁles of excess 234Th were used to quantify sediment bioturbation intensity. In addition, at two of the stations macrofaunal abundance, species composition and functional groupings were quantiﬁed. During the study period, the Eel River displayed a range of hydrological conditions, with historically signiﬁcant ﬂoods in January 1995 and January 1997 (return periods of 15 and 40 y, respectively), relatively low ﬂows during the winters of 1995–1996 and 1998–1999 and an El Nin˜ o year characterized by moderate, but frequent discharges in 1997–1998. The January 1995 and 1997 ﬂoods deposited 3–7 cm of ﬁne-grained, high porosity sediment with high C/N ratios and a terrestrial organic carbon signature at the study sites. The following general questions are addressed herein: (1) how do macrofaunal abundance, species composition and functional groupings vary over time? (2) Does the sediment deposition following the January 1997 ﬂood constitute a major disturbance to the Eel shelf macrobenthos? (3) How does sediment bioturbation intensity vary in time/space and what are the main factors controlling this variation? The Eel shelf macrofauna is strongly dominated by subsurface-deposit feeding polychaetes, with anomalously low abundances of surface-deposit feeders and virtually no suspension feeders among the community dominants. The abundance data revealed a clear seasonal pattern, with peak density ($4.5 · 104 mÀ2) in the fall and a factor of two lower density in the late winter/spring ($2 · 104 mÀ2). Within this seasonal context there was little evidence for extraordinary mortality caused by the January 1997 ﬂood, in that overall wintertime mortality and the mortality of most community dominants during a year (1995–1996) when there was no ﬂood deposition were comparable to the mortality observed following the January 1997 ﬂood. In contrast, the depth distribution of the macrofauna revealed a distinctive post-ﬂood pattern, whereby a majority (55–70%) of individuals were temporarily found at depths &gt;4 cm. This pattern suggests an active response by the resident fauna to sediment deposition, and supports the idea that the ﬂoods did not cause a widespread disturbance. Although there may not be clear evidence for short-term ﬂood eﬀects, the overall species composition and functional groupings do imply that the sedimentary environment (high sediment accumulation rates and abundant terrestrial organic matter) has had a long-term inﬂuence on the Eel shelf macrofauna.","container-title":"Progress in Oceanography","DOI":"10.1016/j.pocean.2006.06.002","ISSN":"00796611","issue":"1","journalAbbreviation":"Progress in Oceanography","language":"en","page":"88-122","source":"DOI.org (Crossref)","title":"Time-series measurements of macrobenthos abundance and sediment bioturbation intensity on a flood-dominated shelf","volume":"71","author":[{"family":"Wheatcroft","given":"Robert A."}],"issued":{"date-parts":[["2006",10]]}}}],"schema":"https://github.com/citation-style-language/schema/raw/master/csl-citation.json"} </w:instrText>
      </w:r>
      <w:r w:rsidR="00C727E8">
        <w:fldChar w:fldCharType="separate"/>
      </w:r>
      <w:r w:rsidR="00C727E8" w:rsidRPr="00C727E8">
        <w:rPr>
          <w:rFonts w:ascii="Calibri" w:hAnsi="Calibri" w:cs="Calibri"/>
        </w:rPr>
        <w:t>(Wheatcroft, 2006)</w:t>
      </w:r>
      <w:r w:rsidR="00C727E8">
        <w:fldChar w:fldCharType="end"/>
      </w:r>
      <w:r w:rsidR="00C727E8">
        <w:t>.</w:t>
      </w:r>
      <w:r w:rsidR="006D37AB">
        <w:t xml:space="preserve"> These newly deposited sediment layer</w:t>
      </w:r>
      <w:r w:rsidR="00E559FF">
        <w:t>s</w:t>
      </w:r>
      <w:r w:rsidR="006D37AB">
        <w:t xml:space="preserve"> </w:t>
      </w:r>
      <w:r w:rsidR="00980A9A">
        <w:t xml:space="preserve">on the continental shelf </w:t>
      </w:r>
      <w:r w:rsidR="006D37AB">
        <w:t xml:space="preserve">were characterized with high clay fraction and porosity </w:t>
      </w:r>
      <w:r w:rsidR="006D37AB">
        <w:fldChar w:fldCharType="begin"/>
      </w:r>
      <w:r w:rsidR="006D37AB">
        <w:instrText xml:space="preserve"> ADDIN ZOTERO_ITEM CSL_CITATION {"citationID":"7dCWUx6B","properties":{"formattedCitation":"(Wheatcroft et al., 1996)","plainCitation":"(Wheatcroft et al., 1996)","noteIndex":0},"citationItems":[{"id":1590,"uris":["http://zotero.org/users/6403124/items/ETDQVNXZ"],"itemData":{"id":1590,"type":"article-journal","container-title":"Oceanography","ISSN":"1042-8275","issue":"3","note":"publisher: Oceanography Society","page":"158-162","source":"JSTOR","title":"The anatomy of an oceanic flood deposit","volume":"9","author":[{"family":"Wheatcroft","given":"Robert A."},{"family":"Borgeld","given":"Jeffry C."},{"family":"Born","given":"Rebecca S."},{"family":"Drake","given":"David E."},{"family":"Leithold","given":"Elana L."},{"family":"Nittrouer","given":"Charles A."},{"family":"Sommerfield","given":"Christopher K."}],"issued":{"date-parts":[["1996"]]}}}],"schema":"https://github.com/citation-style-language/schema/raw/master/csl-citation.json"} </w:instrText>
      </w:r>
      <w:r w:rsidR="006D37AB">
        <w:fldChar w:fldCharType="separate"/>
      </w:r>
      <w:r w:rsidR="006D37AB" w:rsidRPr="006D37AB">
        <w:rPr>
          <w:rFonts w:ascii="Calibri" w:hAnsi="Calibri" w:cs="Calibri"/>
        </w:rPr>
        <w:t>(Wheatcroft et al., 1996)</w:t>
      </w:r>
      <w:r w:rsidR="006D37AB">
        <w:fldChar w:fldCharType="end"/>
      </w:r>
      <w:r w:rsidR="006D37AB">
        <w:t>.</w:t>
      </w:r>
      <w:r w:rsidR="007266E1">
        <w:t xml:space="preserve"> </w:t>
      </w:r>
    </w:p>
    <w:p w14:paraId="276AA7C2" w14:textId="7F5E9B68" w:rsidR="00C727E8" w:rsidRDefault="007266E1" w:rsidP="007E06BB">
      <w:pPr>
        <w:pStyle w:val="a3"/>
        <w:numPr>
          <w:ilvl w:val="1"/>
          <w:numId w:val="12"/>
        </w:numPr>
      </w:pPr>
      <w:r>
        <w:t xml:space="preserve">While porosity had a strong negative effect on macrofauna abundance and biomass </w:t>
      </w:r>
      <w:r w:rsidR="00981D2D">
        <w:t xml:space="preserve">over the study area </w:t>
      </w:r>
      <w:r>
        <w:t>(table</w:t>
      </w:r>
      <w:r w:rsidR="00441EC0">
        <w:t xml:space="preserve"> 3</w:t>
      </w:r>
      <w:r>
        <w:t xml:space="preserve">), </w:t>
      </w:r>
      <w:r w:rsidR="0005012C">
        <w:t xml:space="preserve">the response of </w:t>
      </w:r>
      <w:r>
        <w:t>different stations seemed to vary</w:t>
      </w:r>
      <w:r w:rsidR="00981D2D">
        <w:t xml:space="preserve">. </w:t>
      </w:r>
      <w:r w:rsidR="00534F09">
        <w:t>In the OR1-1242 samples, the macrofauna assemblages of S5, S6, and S7 were mainly associated with changes of sediment organic matter indicators such as Chla, TOC, and CN (</w:t>
      </w:r>
      <w:r w:rsidR="00534F09" w:rsidRPr="001A5949">
        <w:rPr>
          <w:color w:val="FF0000"/>
        </w:rPr>
        <w:t>figure 6</w:t>
      </w:r>
      <w:r w:rsidR="00534F09">
        <w:t xml:space="preserve">). </w:t>
      </w:r>
      <w:r>
        <w:t xml:space="preserve">On the other hand, the macrofauna assemblage of S3 </w:t>
      </w:r>
      <w:r w:rsidR="00981D2D">
        <w:t xml:space="preserve">strongly </w:t>
      </w:r>
      <w:r w:rsidR="00534F09">
        <w:t xml:space="preserve">varies </w:t>
      </w:r>
      <w:r w:rsidR="00981D2D">
        <w:t>with sediment porosity</w:t>
      </w:r>
      <w:r>
        <w:t>.</w:t>
      </w:r>
      <w:r w:rsidR="007410D8">
        <w:t xml:space="preserve"> Nevertheless, the macrofauna assemblage of S3, S5, S6, and S7 were all influenced by bottom water temperature, which </w:t>
      </w:r>
      <w:r w:rsidR="009B44E0">
        <w:t xml:space="preserve">indicated the presence of the hot, brackish, muddy river water </w:t>
      </w:r>
      <w:r w:rsidR="007410D8">
        <w:t>(</w:t>
      </w:r>
      <w:r w:rsidR="007410D8" w:rsidRPr="007410D8">
        <w:rPr>
          <w:color w:val="FF0000"/>
        </w:rPr>
        <w:t>figure 6b</w:t>
      </w:r>
      <w:r w:rsidR="007410D8">
        <w:t xml:space="preserve">). </w:t>
      </w:r>
      <w:r w:rsidR="00980706">
        <w:t xml:space="preserve">As S3 being the closest station to the river mouth, the influence of riverine input likely varied with the distance to the Gaoping </w:t>
      </w:r>
      <w:r w:rsidR="000E6729">
        <w:t>R</w:t>
      </w:r>
      <w:r w:rsidR="00980706">
        <w:t>iver mouth.</w:t>
      </w:r>
    </w:p>
    <w:p w14:paraId="00C5E7B0" w14:textId="4B203595" w:rsidR="005B0207" w:rsidRDefault="009C219B" w:rsidP="00577380">
      <w:pPr>
        <w:pStyle w:val="Title2"/>
      </w:pPr>
      <w:r>
        <w:t>Organic matter indicators</w:t>
      </w:r>
    </w:p>
    <w:p w14:paraId="66750217" w14:textId="09F4C38D" w:rsidR="007E06BB" w:rsidRDefault="007E06BB" w:rsidP="0017617E">
      <w:pPr>
        <w:pStyle w:val="a3"/>
        <w:numPr>
          <w:ilvl w:val="0"/>
          <w:numId w:val="11"/>
        </w:numPr>
      </w:pPr>
      <w:r>
        <w:t xml:space="preserve">While CN and </w:t>
      </w:r>
      <w:r>
        <w:rPr>
          <w:rFonts w:cstheme="minorHAnsi"/>
        </w:rPr>
        <w:t>δ</w:t>
      </w:r>
      <w:r w:rsidRPr="0017617E">
        <w:rPr>
          <w:rFonts w:cstheme="minorHAnsi"/>
          <w:vertAlign w:val="superscript"/>
        </w:rPr>
        <w:t>13</w:t>
      </w:r>
      <w:r>
        <w:t>C were often used to identify the source and quality of the organic matter, .</w:t>
      </w:r>
    </w:p>
    <w:p w14:paraId="0DFEBA42" w14:textId="77777777" w:rsidR="007E06BB" w:rsidRDefault="007E06BB" w:rsidP="0017617E">
      <w:pPr>
        <w:pStyle w:val="a3"/>
        <w:numPr>
          <w:ilvl w:val="0"/>
          <w:numId w:val="11"/>
        </w:numPr>
      </w:pPr>
    </w:p>
    <w:p w14:paraId="4DB692B2" w14:textId="057EA462" w:rsidR="0017617E" w:rsidRDefault="0017617E" w:rsidP="0017617E">
      <w:pPr>
        <w:pStyle w:val="a3"/>
        <w:numPr>
          <w:ilvl w:val="0"/>
          <w:numId w:val="11"/>
        </w:numPr>
      </w:pPr>
      <w:r>
        <w:t xml:space="preserve">Chla and </w:t>
      </w:r>
      <w:r>
        <w:rPr>
          <w:rFonts w:cstheme="minorHAnsi"/>
        </w:rPr>
        <w:t>δ</w:t>
      </w:r>
      <w:r w:rsidRPr="0017617E">
        <w:rPr>
          <w:rFonts w:cstheme="minorHAnsi"/>
          <w:vertAlign w:val="superscript"/>
        </w:rPr>
        <w:t>13</w:t>
      </w:r>
      <w:r>
        <w:t>C were negatively correlated</w:t>
      </w:r>
      <w:r w:rsidR="00C41D14">
        <w:t xml:space="preserve"> (r = -0.76)</w:t>
      </w:r>
      <w:r>
        <w:t>.</w:t>
      </w:r>
    </w:p>
    <w:p w14:paraId="6A6D82C4" w14:textId="6ED508B0" w:rsidR="00E27849" w:rsidRDefault="00E27849" w:rsidP="0017617E">
      <w:pPr>
        <w:pStyle w:val="a3"/>
        <w:numPr>
          <w:ilvl w:val="0"/>
          <w:numId w:val="11"/>
        </w:numPr>
      </w:pPr>
      <w:r>
        <w:t xml:space="preserve">Similarly, </w:t>
      </w:r>
      <w:r>
        <w:fldChar w:fldCharType="begin"/>
      </w:r>
      <w:r>
        <w:instrText xml:space="preserve"> ADDIN ZOTERO_ITEM CSL_CITATION {"citationID":"C94qfqjm","properties":{"formattedCitation":"(Akoumianaki et al., 2013)","plainCitation":"(Akoumianaki et al., 2013)","noteIndex":0},"citationItems":[{"id":618,"uris":["http://zotero.org/users/6403124/items/3YV2QD5J"],"itemData":{"id":618,"type":"article-journal","abstract":"Macrofauna community interactions with environmental variables in the water column (salinity, temperature, turbidity, transparency, suspended particulate matter, particulate organic matter, choloroplastic pigments) and in the sediment (granulometric variables, organic carbon and pigments) were investigated in a coastal area with high land runoff due to riverine and temporary stream discharges (Greece, Aegean Sea, Maliakos Gulf). Samples were taken along a distance-depositional gradient from the river mouth to the open sea at eight stations, at times of different precipitation regime from August 2000 to May 2001. The physical variables, such as transparency and median grain size, generally increased seawards, and parallelled the depositional gradient as opposed to measures of food inputs and hydrodynamic regime. High environmental heterogeneity was observed during peak precipitation. The total number of species increased seawards and from August (122 species) to May (170 species). Maximum abundance also increased from August (4953 m−2) to May (10,220 individuals m−2), irrespective of distance from river mouth. Species belonging to different functional groups, as to recolonization, feeding, motility and substrate preferences, coexisted at all times indicating high functional diversity. Non-parametric multivariate regression showed that at times of low, rising and falling precipitation 78–81% of community variation was explained by environmental variables, indicating that macrofauna distribution and species composition respond to food inputs and sediment characteristics. During peak land runoff the community–environment relationship weakened (57% of the variability explained). The diversity of functional traits of the most abundant species indicates that the macrofauna community can absorb the impact of increased turbidity, sedimentation and current-driven dispersion. The study offers baseline information for the integrated coastal zone management in microtidal areas with high land runoff under Mediterranean-type climate conditions. During peak land runoff the community–environment relationship weakened (57% of the variability explained) whilst species distribution ranges increased. The study shows that the functional diversity in the study area prior to high discharge period enable macrofauna community to absorb the impact of increased turbidity, sedimentation and current-driven dispersion. The study offers baseline information for the impact of high land runoff in microtidal areas under Mediterranean-type climate conditions.","collection-title":"Estuarine and lagoon biodiversity and their natural goods and services","container-title":"Estuarine, Coastal and Shelf Science","DOI":"10.1016/j.ecss.2012.04.009","ISSN":"0272-7714","journalAbbreviation":"Estuarine, Coastal and Shelf Science","language":"en","page":"34-44","source":"ScienceDirect","title":"Environmental variation and macrofauna response in a coastal area influenced by land runoff","volume":"132","author":[{"family":"Akoumianaki","given":"Ioanna"},{"family":"Papaspyrou","given":"Sokratis"},{"family":"Kormas","given":"Konstantinos Ar."},{"family":"Nicolaidou","given":"Artemis"}],"issued":{"date-parts":[["2013",11,1]]}}}],"schema":"https://github.com/citation-style-language/schema/raw/master/csl-citation.json"} </w:instrText>
      </w:r>
      <w:r>
        <w:fldChar w:fldCharType="separate"/>
      </w:r>
      <w:r w:rsidRPr="00E27849">
        <w:rPr>
          <w:rFonts w:ascii="Calibri" w:hAnsi="Calibri" w:cs="Calibri"/>
        </w:rPr>
        <w:t xml:space="preserve">Akoumianaki et al. </w:t>
      </w:r>
      <w:r>
        <w:rPr>
          <w:rFonts w:ascii="Calibri" w:hAnsi="Calibri" w:cs="Calibri"/>
        </w:rPr>
        <w:t>(</w:t>
      </w:r>
      <w:r w:rsidRPr="00E27849">
        <w:rPr>
          <w:rFonts w:ascii="Calibri" w:hAnsi="Calibri" w:cs="Calibri"/>
        </w:rPr>
        <w:t>2013)</w:t>
      </w:r>
      <w:r>
        <w:fldChar w:fldCharType="end"/>
      </w:r>
      <w:r>
        <w:t xml:space="preserve"> reported a weaker fit between biological and environmental data during flood season.</w:t>
      </w:r>
    </w:p>
    <w:p w14:paraId="087052F0" w14:textId="203B31BA" w:rsidR="0017617E" w:rsidRDefault="00034D94" w:rsidP="0017617E">
      <w:pPr>
        <w:pStyle w:val="a3"/>
        <w:numPr>
          <w:ilvl w:val="0"/>
          <w:numId w:val="10"/>
        </w:numPr>
      </w:pPr>
      <w:r>
        <w:t xml:space="preserve">Although </w:t>
      </w:r>
      <w:r w:rsidR="0063082C">
        <w:t xml:space="preserve">greater </w:t>
      </w:r>
      <w:r w:rsidR="0017617E">
        <w:t xml:space="preserve">quality and quantity </w:t>
      </w:r>
      <w:r>
        <w:t xml:space="preserve">of organic matter </w:t>
      </w:r>
      <w:r w:rsidR="0063082C">
        <w:t xml:space="preserve">nurtures </w:t>
      </w:r>
      <w:r>
        <w:t xml:space="preserve">the seafloor biota </w:t>
      </w:r>
      <w:r w:rsidR="0017617E">
        <w:fldChar w:fldCharType="begin"/>
      </w:r>
      <w:r w:rsidR="0017617E" w:rsidRPr="0017617E">
        <w:instrText xml:space="preserve"> ADDIN ZOTERO_ITEM CSL_CITATION {"citationID":"ChVpgV5n","properties":{"formattedCitation":"(Campany\\uc0\\u224{}-Llovet et al., 2017)","plainCitation":"(Campanyà-Llovet et al., 2017)","noteIndex":0},"citationItems":[{"id":255,"uris":["http://zotero.org/users/6403124/items/62PWH6JY"],"itemData":{"id":255,"type":"article-journal","abstract":"Current knowledge on the role of food for benthic communities and associated food webs focuses on quantity of available organic matter; however, the few studies that specifically address food quality show significant potential influences on food web and community structure. We examine current understanding of food quality and consider its contribution to regulating benthic ecosystems. By assembling data from the literature we found that, whereas food quantity increases benthic stocks (i.e., abundances), various trophic groups respond differently to quality parameters, suggesting that food quality can alter benthic trophic structure substantially. Moreover, contrasting ecosystems respond differently to food quantity and quality inputs. Based on our literature review we find that, for many highly productive coastal marine ecosystems (coral reefs, seagrass meadows, kelp forests), the detrital compartment represents the most important primary food source because low nutritional value (i.e., hard skeleton, lignin, deterrent substances, etc.) often characterizes this high productivity. Strong seasonality in the flux of organic matter, such as in polar ecosystems, results in food webs based on relatively consistent but often poorer quality food sources (i.e., “food banks”). Benthic community structure may shift dramatically in food-poor deep-sea ecosystems where otherwise rare species become dominant in response to food pulses. These ecosystems appear to respond more strongly than other benthic ecosystems to quantity and quality of food input. In deep-sea chemosynthetic environments, high food quantity and quality fuel benthic communities through resource partitioning of specialized chemosynthesis-based food sources. Lastly, we argue that food quality may have significant implications for benthic ecosystem functioning and services (e.g., bioturbation, nutrient fluxes, organic carbon preservation), particularly in the context of global warming. These implications point to several key gaps and opportunities that future food web studies should consider by applying knowledge gained in aquaculture to field studies, understanding the mechanisms for particle selection within the detrital compartment, and better understanding how rising temperatures and ocean acidification impact ecosystem functioning through changes in food quality.","container-title":"Progress in Oceanography","DOI":"10.1016/j.pocean.2017.07.006","ISSN":"0079-6611","journalAbbreviation":"Progress in Oceanography","language":"en","page":"240-251","source":"ScienceDirect","title":"Rethinking the importance of food quality in marine benthic food webs","volume":"156","author":[{"family":"Campanyà-Llovet","given":"Neus"},{"family":"Snelgrove","given":"Paul V. R."},{"family":"Parrish","given":"Christopher C."}],"issued":{"date-parts":[["2017",8,1]]}}}],"schema":"https://github.com/citation-style-language/schema/raw/master/csl-citation.json"} </w:instrText>
      </w:r>
      <w:r w:rsidR="0017617E">
        <w:fldChar w:fldCharType="separate"/>
      </w:r>
      <w:r w:rsidR="0017617E" w:rsidRPr="0017617E">
        <w:rPr>
          <w:rFonts w:ascii="Calibri" w:hAnsi="Calibri" w:cs="Calibri"/>
          <w:szCs w:val="24"/>
        </w:rPr>
        <w:t>(Campanyà-Llovet et al., 2017)</w:t>
      </w:r>
      <w:r w:rsidR="0017617E">
        <w:fldChar w:fldCharType="end"/>
      </w:r>
      <w:r>
        <w:t xml:space="preserve">, </w:t>
      </w:r>
      <w:r w:rsidR="0063082C">
        <w:t xml:space="preserve">the increase of organic matter quality and quantity </w:t>
      </w:r>
      <w:r>
        <w:t>more or less indicated the sedimentary condition of the seafloor</w:t>
      </w:r>
      <w:r w:rsidR="0017617E">
        <w:t>.</w:t>
      </w:r>
    </w:p>
    <w:p w14:paraId="6A0E5E2E" w14:textId="4BF4B938" w:rsidR="00182693" w:rsidRDefault="002F132B" w:rsidP="00182693">
      <w:pPr>
        <w:pStyle w:val="a3"/>
        <w:numPr>
          <w:ilvl w:val="0"/>
          <w:numId w:val="10"/>
        </w:numPr>
      </w:pPr>
      <w:r>
        <w:t>With a lifespan ranging months to years, the change of macrofauna in the present study xxxxxx.</w:t>
      </w:r>
    </w:p>
    <w:p w14:paraId="067277AF" w14:textId="4D389722" w:rsidR="00182693" w:rsidRDefault="00182693" w:rsidP="00182693">
      <w:pPr>
        <w:pStyle w:val="Title2"/>
      </w:pPr>
      <w:r>
        <w:t>Oxygen dynamics</w:t>
      </w:r>
    </w:p>
    <w:p w14:paraId="762D5D79" w14:textId="2444DD20" w:rsidR="005516C5" w:rsidRDefault="005516C5" w:rsidP="005516C5">
      <w:r>
        <w:t xml:space="preserve">The measured DOU in the present study might not be representative to </w:t>
      </w:r>
      <w:r w:rsidRPr="006513E3">
        <w:rPr>
          <w:i/>
        </w:rPr>
        <w:t>in situ</w:t>
      </w:r>
      <w:r>
        <w:t xml:space="preserve"> conditions. </w:t>
      </w:r>
      <w:r w:rsidRPr="001D0CAF">
        <w:t xml:space="preserve">DOU measurements in the </w:t>
      </w:r>
      <w:r>
        <w:t xml:space="preserve">Gaoping Continental Shelf </w:t>
      </w:r>
      <w:r w:rsidRPr="001D0CAF">
        <w:t>were low</w:t>
      </w:r>
      <w:r>
        <w:t xml:space="preserve">er than the </w:t>
      </w:r>
      <w:r w:rsidRPr="00B4786B">
        <w:rPr>
          <w:color w:val="FF0000"/>
        </w:rPr>
        <w:t>Rhone River delta (cit.), and other deltaic regions</w:t>
      </w:r>
      <w:r w:rsidRPr="001D0CAF">
        <w:t>.</w:t>
      </w:r>
      <w:r>
        <w:rPr>
          <w:i/>
        </w:rPr>
        <w:t xml:space="preserve"> </w:t>
      </w:r>
      <w:r w:rsidRPr="00D866C2">
        <w:rPr>
          <w:i/>
        </w:rPr>
        <w:t>In situ</w:t>
      </w:r>
      <w:r>
        <w:t xml:space="preserve"> DOU measurements off the Rhone river have shown that sediment resuspension events could increase DOU to the factor of 2 within an hour; DOU would then 36 hours to return to its stabilizing state </w:t>
      </w:r>
      <w:r>
        <w:fldChar w:fldCharType="begin"/>
      </w:r>
      <w:r>
        <w:instrText xml:space="preserve"> ADDIN ZOTERO_ITEM CSL_CITATION {"citationID":"8l95GcJB","properties":{"formattedCitation":"(Toussaint et al., 2014)","plainCitation":"(Toussaint et al., 2014)","noteIndex":0},"citationItems":[{"id":9198,"uris":["http://zotero.org/users/6403124/items/RQ2FLWUT"],"itemData":{"id":9198,"type":"article-journal","abstract":"A new benthic station equipped with oxygen microelectrodes and environmental sensors was developed by Laboratoire des Sciences du Climat et de L'Environnement (LSCE) and Division Technique of the Institut National des Sciences de L'Univers (DT- INSU) to perform in situ time series monitoring of sediment oxygen demand, linked to the mineralization of organic matter. The time series typically cover periods of 2- 3 months, with a base frequency of 1 set of oxygen profiles per day. The profiling head assessed the lateral heterogeneity of the sediment oxygen demand at the beginning of the time series over a 0.8- m long rectangle to discriminate spatial and temporal variability. A continuous recalibration is performed using a moored oxygen optode anchored to the benthic station together with a set of environmental sensors. These sensors (turbidity, temperature, salinity, and oxygen) can trigger a high- frequency profiling mode to investigate the fate of particulate organic matter delivered during floods, resuspension, and deposition events. Deployments of the benthic station were performed in the Rhone River subaqueous delta (Mediterranean Sea). We show that “stable” periods (when neither floods nor storms occur) were characterized by a stable oxygen demand. In the case of resuspension events, an increase of the sediment oxygen demand by a factor of 2- 3 with a relaxation time of 1 day was observed, indicating that the new benthic station can adequately capture the impact of resuspension events on the oxygen demand in deltaic sediments.","container-title":"Limnology and Oceanography: Methods","DOI":"10.4319/lom.2014.12.729","ISSN":"1541-5856","issue":"11","language":"en","note":"_eprint: https://onlinelibrary.wiley.com/doi/pdf/10.4319/lom.2014.12.729","page":"729-741","source":"Wiley Online Library","title":"A new device to follow temporal variations of oxygen demand in deltaic sediments: the LSCE benthic station","title-short":"A new device to follow temporal variations of oxygen demand in deltaic sediments","volume":"12","author":[{"family":"Toussaint","given":"Flora"},{"family":"Rabouille","given":"Christophe"},{"family":"Cathalot","given":"Cécile"},{"family":"Bombled","given":"Bruno"},{"family":"Abchiche","given":"Abdel"},{"family":"Aouji","given":"Oualid"},{"family":"Buchholtz","given":"Gilles"},{"family":"Clemençon","given":"Aurélien"},{"family":"Geyskens","given":"Nicolas"},{"family":"Répécaud","given":"Michel"},{"family":"Pairaud","given":"Ivane"},{"family":"Verney","given":"Romaric"},{"family":"Tisnérat-Laborde","given":"Nadine"}],"issued":{"date-parts":[["2014"]]}}}],"schema":"https://github.com/citation-style-language/schema/raw/master/csl-citation.json"} </w:instrText>
      </w:r>
      <w:r>
        <w:fldChar w:fldCharType="separate"/>
      </w:r>
      <w:r w:rsidRPr="001D0CAF">
        <w:rPr>
          <w:rFonts w:ascii="Calibri" w:hAnsi="Calibri" w:cs="Calibri"/>
        </w:rPr>
        <w:t>(Toussaint et al., 2014)</w:t>
      </w:r>
      <w:r>
        <w:fldChar w:fldCharType="end"/>
      </w:r>
      <w:r>
        <w:t xml:space="preserve">. Since the Gaoping Continental Shelf seafloor receives inputs from the Gaoping River and is </w:t>
      </w:r>
      <w:r>
        <w:rPr>
          <w:rFonts w:hint="eastAsia"/>
        </w:rPr>
        <w:t>s</w:t>
      </w:r>
      <w:r>
        <w:t xml:space="preserve">ubjected to tidal waves </w:t>
      </w:r>
      <w:r>
        <w:fldChar w:fldCharType="begin"/>
      </w:r>
      <w:r>
        <w:instrText xml:space="preserve"> ADDIN ZOTERO_ITEM CSL_CITATION {"citationID":"aUkIk2ih","properties":{"formattedCitation":"(Liu et al., 2002)","plainCitation":"(Liu et al., 2002)","noteIndex":0},"citationItems":[{"id":911,"uris":["http://zotero.org/users/6403124/items/JCH65IPJ"],"itemData":{"id":911,"type":"article-journal","abstract":"This study examines the influence of a submarine canyon on the dispersal of sediments discharged by a nearby river and on the sediment movement on the inner shelf. The study area includes the head region of the Kao-ping Submarine Canyon whose landward terminus is located approximately 1 km seaward from the mouth of the Kao-ping River in southern Taiwan. Within the study area 143 surficial sediment samples were taken from the seafloor. Six hydrographic surveys along the axis of the submarine canyon were also conducted over the span of 1 yr. Three different approaches were used in the analysis of grain-size distribution pattern. They include (1) a combination of ‘filtering’ and the empirical orthogonal (eigen) function (EOF) analysis technique, (2) the McLaren Model, and (3) the ‘transport vector’ technique. The results of the three methods not only agree with one another, they also complement one another. This study reveals that the Kao-ping Submarine Canyon is relatively a stratified and statically stable environment. The hydrographic characteristics of the canyon display seasonal variability controlled primarily by the temperature field and the effluent of the Kao-ping River. The hydrographic condition and the bottom topography in the canyon suggest the propagation of internal tides during the flood season (summer) of the Kao-ping River. The submarine canyon acts as a trap and conduit for mud exchange between the Kao-ping River and offshore. Near the head of the canyon there is a region of sediment transport convergence. This region is also characterized by high mud abundance on the seafloor that coincides with the presence of high suspended sediment concentration (SSC) spots in the bottom nepheloid layer. Outside the submarine canyon on the shelf where the evidence of wave reworking is strong, the northwestward alongshore transport dominates over the southeastward transport, which is a common theme on the west coast in southern Taiwan.","container-title":"Marine Geology","DOI":"10.1016/S0025-3227(01)00219-5","ISSN":"0025-3227","issue":"4","journalAbbreviation":"Marine Geology","language":"en","page":"357-386","source":"ScienceDirect","title":"The effect of a submarine canyon on the river sediment dispersal and inner shelf sediment movements in southern Taiwan","volume":"181","author":[{"family":"Liu","given":"James T."},{"family":"Liu","given":"Kuen-jang"},{"family":"Huang","given":"Jeff C."}],"issued":{"date-parts":[["2002",3,30]]}}}],"schema":"https://github.com/citation-style-language/schema/raw/master/csl-citation.json"} </w:instrText>
      </w:r>
      <w:r>
        <w:fldChar w:fldCharType="separate"/>
      </w:r>
      <w:r w:rsidRPr="004E115B">
        <w:rPr>
          <w:rFonts w:ascii="Calibri" w:hAnsi="Calibri" w:cs="Calibri"/>
        </w:rPr>
        <w:t>(Liu et al., 2002)</w:t>
      </w:r>
      <w:r>
        <w:fldChar w:fldCharType="end"/>
      </w:r>
      <w:r>
        <w:t xml:space="preserve">, it was likely that DOU can be as dynamic as in the Rhone river deltaic sediments. In fact, bottom water transmission dips in OR1-1242 indicated possible sediment resuspension events at the shelf seabed </w:t>
      </w:r>
      <w:r w:rsidRPr="00060B99">
        <w:rPr>
          <w:color w:val="FF0000"/>
        </w:rPr>
        <w:t>(figure</w:t>
      </w:r>
      <w:r>
        <w:rPr>
          <w:color w:val="FF0000"/>
        </w:rPr>
        <w:t xml:space="preserve"> 2</w:t>
      </w:r>
      <w:r w:rsidRPr="00060B99">
        <w:rPr>
          <w:color w:val="FF0000"/>
        </w:rPr>
        <w:t>)</w:t>
      </w:r>
      <w:r>
        <w:t xml:space="preserve">. Also, oxygen profile measurements in the present study were done after sediment incubation, which generally took more than 24 hours, giving DOU enough time to drop back to the normal state. We </w:t>
      </w:r>
      <w:r>
        <w:rPr>
          <w:rFonts w:hint="eastAsia"/>
        </w:rPr>
        <w:t>t</w:t>
      </w:r>
      <w:r>
        <w:t xml:space="preserve">herefore speculate that the DOU measured in the present study is systematically lower than those </w:t>
      </w:r>
      <w:r w:rsidRPr="004B44CD">
        <w:rPr>
          <w:i/>
        </w:rPr>
        <w:t>in situ</w:t>
      </w:r>
      <w:r>
        <w:t xml:space="preserve">. We warn </w:t>
      </w:r>
      <w:r>
        <w:lastRenderedPageBreak/>
        <w:t>that incubation experiments might stabilize the sediment, lowering the measured DOU, yielding erroneously high BOUs as a result. Also, future studies should specify when their oxygen profiles were measured.</w:t>
      </w:r>
    </w:p>
    <w:p w14:paraId="00E3DBA9" w14:textId="2D3D9F7A" w:rsidR="005516C5" w:rsidRDefault="005516C5" w:rsidP="005516C5">
      <w:r>
        <w:t>While porosity negatively affects macrofauna abudance and biomass, porosity was positively associated with TOU.</w:t>
      </w:r>
      <w:r w:rsidR="008F3A80">
        <w:t xml:space="preserve"> </w:t>
      </w:r>
    </w:p>
    <w:p w14:paraId="301BCE62" w14:textId="7CEE9E53" w:rsidR="008F3A80" w:rsidRDefault="008F3A80" w:rsidP="005516C5">
      <w:r>
        <w:t xml:space="preserve">Flooded sediments were also known to have higher organic matter content </w:t>
      </w:r>
      <w:r>
        <w:fldChar w:fldCharType="begin"/>
      </w:r>
      <w:r>
        <w:instrText xml:space="preserve"> ADDIN ZOTERO_ITEM CSL_CITATION {"citationID":"xPDKwanC","properties":{"formattedCitation":"(Avnimelech et al., 2001)","plainCitation":"(Avnimelech et al., 2001)","noteIndex":0},"citationItems":[{"id":8788,"uris":["http://zotero.org/users/6403124/items/6PE5FF2J"],"itemData":{"id":8788,"type":"article-journal","container-title":"Aquacultural Engineering","DOI":"10.1016/S0144-8609(01)00068-1","ISSN":"01448609","issue":"1","journalAbbreviation":"Aquacultural Engineering","language":"en","page":"25-33","source":"DOI.org (Crossref)","title":"Water content, organic carbon and dry bulk density in flooded sediments","volume":"25","author":[{"family":"Avnimelech","given":"Yoram"},{"family":"Ritvo","given":"Gad"},{"family":"Meijer","given":"Leon E."},{"family":"Kochba","given":"Malka"}],"issued":{"date-parts":[["2001",8]]}}}],"schema":"https://github.com/citation-style-language/schema/raw/master/csl-citation.json"} </w:instrText>
      </w:r>
      <w:r>
        <w:fldChar w:fldCharType="separate"/>
      </w:r>
      <w:r w:rsidRPr="008F3A80">
        <w:rPr>
          <w:rFonts w:ascii="Calibri" w:hAnsi="Calibri" w:cs="Calibri"/>
        </w:rPr>
        <w:t>(Avnimelech et al., 2001)</w:t>
      </w:r>
      <w:r>
        <w:fldChar w:fldCharType="end"/>
      </w:r>
      <w:r>
        <w:t>.</w:t>
      </w:r>
      <w:bookmarkStart w:id="3" w:name="_GoBack"/>
      <w:bookmarkEnd w:id="3"/>
    </w:p>
    <w:p w14:paraId="0F0AD4E9" w14:textId="77777777" w:rsidR="005516C5" w:rsidRDefault="005516C5" w:rsidP="005516C5"/>
    <w:p w14:paraId="65880082" w14:textId="79CAB21A" w:rsidR="0067188B" w:rsidRDefault="0037699D" w:rsidP="00AD42AC">
      <w:pPr>
        <w:pStyle w:val="Title1"/>
      </w:pPr>
      <w:r w:rsidRPr="004E22B6">
        <w:t>Conclusions</w:t>
      </w:r>
    </w:p>
    <w:p w14:paraId="64F1B64B" w14:textId="29F8D2C3" w:rsidR="0067188B" w:rsidRDefault="0037699D" w:rsidP="00AD42AC">
      <w:pPr>
        <w:pStyle w:val="Title1"/>
      </w:pPr>
      <w:r>
        <w:t>Acknowledgements</w:t>
      </w:r>
    </w:p>
    <w:p w14:paraId="49BA39C3" w14:textId="78BB9F4A" w:rsidR="005B0207" w:rsidRDefault="005B0207" w:rsidP="00AD42AC">
      <w:pPr>
        <w:pStyle w:val="Title1"/>
      </w:pPr>
      <w:r>
        <w:t>References</w:t>
      </w:r>
    </w:p>
    <w:p w14:paraId="2B60D702" w14:textId="77777777" w:rsidR="008F3A80" w:rsidRPr="008F3A80" w:rsidRDefault="005B0207" w:rsidP="008F3A80">
      <w:pPr>
        <w:pStyle w:val="af0"/>
        <w:rPr>
          <w:rFonts w:ascii="Calibri" w:hAnsi="Calibri" w:cs="Calibri"/>
        </w:rPr>
      </w:pPr>
      <w:r>
        <w:fldChar w:fldCharType="begin"/>
      </w:r>
      <w:r>
        <w:instrText xml:space="preserve"> ADDIN ZOTERO_BIBL {"uncited":[],"omitted":[],"custom":[]} CSL_BIBLIOGRAPHY </w:instrText>
      </w:r>
      <w:r>
        <w:fldChar w:fldCharType="separate"/>
      </w:r>
      <w:r w:rsidR="008F3A80" w:rsidRPr="008F3A80">
        <w:rPr>
          <w:rFonts w:ascii="Calibri" w:hAnsi="Calibri" w:cs="Calibri"/>
        </w:rPr>
        <w:t>Akoumianaki, I., Nicolaidou, A., 2007. Spatial variability and dynamics of macrobenthos in a Mediterranean delta front area: The role of physical processes. Journal of Sea Research 57, 47–64. https://doi.org/10.1016/j.seares.2006.07.003</w:t>
      </w:r>
    </w:p>
    <w:p w14:paraId="3D2542C4" w14:textId="77777777" w:rsidR="008F3A80" w:rsidRPr="008F3A80" w:rsidRDefault="008F3A80" w:rsidP="008F3A80">
      <w:pPr>
        <w:pStyle w:val="af0"/>
        <w:rPr>
          <w:rFonts w:ascii="Calibri" w:hAnsi="Calibri" w:cs="Calibri"/>
        </w:rPr>
      </w:pPr>
      <w:r w:rsidRPr="008F3A80">
        <w:rPr>
          <w:rFonts w:ascii="Calibri" w:hAnsi="Calibri" w:cs="Calibri"/>
        </w:rPr>
        <w:t>Akoumianaki, I., Papaspyrou, S., Kormas, K.Ar., Nicolaidou, A., 2013. Environmental variation and macrofauna response in a coastal area influenced by land runoff. Estuarine, Coastal and Shelf Science, Estuarine and lagoon biodiversity and their natural goods and services 132, 34–44. https://doi.org/10.1016/j.ecss.2012.04.009</w:t>
      </w:r>
    </w:p>
    <w:p w14:paraId="597F2747" w14:textId="77777777" w:rsidR="008F3A80" w:rsidRPr="008F3A80" w:rsidRDefault="008F3A80" w:rsidP="008F3A80">
      <w:pPr>
        <w:pStyle w:val="af0"/>
        <w:rPr>
          <w:rFonts w:ascii="Calibri" w:hAnsi="Calibri" w:cs="Calibri"/>
          <w:lang w:val="da-DK"/>
        </w:rPr>
      </w:pPr>
      <w:r w:rsidRPr="008F3A80">
        <w:rPr>
          <w:rFonts w:ascii="Calibri" w:hAnsi="Calibri" w:cs="Calibri"/>
        </w:rPr>
        <w:t xml:space="preserve">Akoumianaki, I., Papaspyrou, S., Nicolaidou, A., 2006. Dynamics of macrofaunal body size in a deltaic environment. </w:t>
      </w:r>
      <w:r w:rsidRPr="008F3A80">
        <w:rPr>
          <w:rFonts w:ascii="Calibri" w:hAnsi="Calibri" w:cs="Calibri"/>
          <w:lang w:val="da-DK"/>
        </w:rPr>
        <w:t>Mar. Ecol. Prog. Ser. 321, 55–66. https://doi.org/10.3354/meps321055</w:t>
      </w:r>
    </w:p>
    <w:p w14:paraId="7E12B2F8" w14:textId="77777777" w:rsidR="008F3A80" w:rsidRPr="008F3A80" w:rsidRDefault="008F3A80" w:rsidP="008F3A80">
      <w:pPr>
        <w:pStyle w:val="af0"/>
        <w:rPr>
          <w:rFonts w:ascii="Calibri" w:hAnsi="Calibri" w:cs="Calibri"/>
        </w:rPr>
      </w:pPr>
      <w:r w:rsidRPr="008F3A80">
        <w:rPr>
          <w:rFonts w:ascii="Calibri" w:hAnsi="Calibri" w:cs="Calibri"/>
          <w:lang w:val="da-DK"/>
        </w:rPr>
        <w:t xml:space="preserve">Anderson, M.J., 2017. </w:t>
      </w:r>
      <w:r w:rsidRPr="008F3A80">
        <w:rPr>
          <w:rFonts w:ascii="Calibri" w:hAnsi="Calibri" w:cs="Calibri"/>
        </w:rPr>
        <w:t>Permutational Multivariate Analysis of Variance (PERMANOVA), in: Wiley StatsRef: Statistics Reference Online. American Cancer Society, pp. 1–15. https://doi.org/10.1002/9781118445112.stat07841</w:t>
      </w:r>
    </w:p>
    <w:p w14:paraId="2E68CEAE" w14:textId="77777777" w:rsidR="008F3A80" w:rsidRPr="008F3A80" w:rsidRDefault="008F3A80" w:rsidP="008F3A80">
      <w:pPr>
        <w:pStyle w:val="af0"/>
        <w:rPr>
          <w:rFonts w:ascii="Calibri" w:hAnsi="Calibri" w:cs="Calibri"/>
        </w:rPr>
      </w:pPr>
      <w:r w:rsidRPr="008F3A80">
        <w:rPr>
          <w:rFonts w:ascii="Calibri" w:hAnsi="Calibri" w:cs="Calibri"/>
        </w:rPr>
        <w:t>Avnimelech, Y., Ritvo, G., Meijer, L.E., Kochba, M., 2001. Water content, organic carbon and dry bulk density in flooded sediments. Aquacultural Engineering 25, 25–33. https://doi.org/10.1016/S0144-8609(01)00068-1</w:t>
      </w:r>
    </w:p>
    <w:p w14:paraId="05CDA2FC" w14:textId="77777777" w:rsidR="008F3A80" w:rsidRPr="008F3A80" w:rsidRDefault="008F3A80" w:rsidP="008F3A80">
      <w:pPr>
        <w:pStyle w:val="af0"/>
        <w:rPr>
          <w:rFonts w:ascii="Calibri" w:hAnsi="Calibri" w:cs="Calibri"/>
        </w:rPr>
      </w:pPr>
      <w:r w:rsidRPr="008F3A80">
        <w:rPr>
          <w:rFonts w:ascii="Calibri" w:hAnsi="Calibri" w:cs="Calibri"/>
        </w:rPr>
        <w:t>Bartoń, K., 2022. MuMIn: Multi-Model Inference.</w:t>
      </w:r>
    </w:p>
    <w:p w14:paraId="3CF252BF" w14:textId="77777777" w:rsidR="008F3A80" w:rsidRPr="008F3A80" w:rsidRDefault="008F3A80" w:rsidP="008F3A80">
      <w:pPr>
        <w:pStyle w:val="af0"/>
        <w:rPr>
          <w:rFonts w:ascii="Calibri" w:hAnsi="Calibri" w:cs="Calibri"/>
        </w:rPr>
      </w:pPr>
      <w:r w:rsidRPr="008F3A80">
        <w:rPr>
          <w:rFonts w:ascii="Calibri" w:hAnsi="Calibri" w:cs="Calibri"/>
          <w:lang w:val="da-DK"/>
        </w:rPr>
        <w:t xml:space="preserve">Berg, P., Risgaard-Petersen, N., Rysgaard, S., 1998. </w:t>
      </w:r>
      <w:r w:rsidRPr="008F3A80">
        <w:rPr>
          <w:rFonts w:ascii="Calibri" w:hAnsi="Calibri" w:cs="Calibri"/>
        </w:rPr>
        <w:t>Interpretation of measured concentration profiles in sediment pore water. Limnology and Oceanography 43, 1500–1510. https://doi.org/10.4319/lo.1998.43.7.1500</w:t>
      </w:r>
    </w:p>
    <w:p w14:paraId="375D41E1" w14:textId="77777777" w:rsidR="008F3A80" w:rsidRPr="008F3A80" w:rsidRDefault="008F3A80" w:rsidP="008F3A80">
      <w:pPr>
        <w:pStyle w:val="af0"/>
        <w:rPr>
          <w:rFonts w:ascii="Calibri" w:hAnsi="Calibri" w:cs="Calibri"/>
        </w:rPr>
      </w:pPr>
      <w:r w:rsidRPr="008F3A80">
        <w:rPr>
          <w:rFonts w:ascii="Calibri" w:hAnsi="Calibri" w:cs="Calibri"/>
        </w:rPr>
        <w:t>Blum, P., 1997. Moisture and density (by mass and volume), in: Physical Properties Handbook: A Guide to the Shipboard Measurement of Physical Properties of Deep-Sea Cores. Texas, USA.</w:t>
      </w:r>
    </w:p>
    <w:p w14:paraId="0FB51C13" w14:textId="77777777" w:rsidR="008F3A80" w:rsidRPr="008F3A80" w:rsidRDefault="008F3A80" w:rsidP="008F3A80">
      <w:pPr>
        <w:pStyle w:val="af0"/>
        <w:rPr>
          <w:rFonts w:ascii="Calibri" w:hAnsi="Calibri" w:cs="Calibri"/>
        </w:rPr>
      </w:pPr>
      <w:r w:rsidRPr="008F3A80">
        <w:rPr>
          <w:rFonts w:ascii="Calibri" w:hAnsi="Calibri" w:cs="Calibri"/>
        </w:rPr>
        <w:lastRenderedPageBreak/>
        <w:t>Brown, J.H., Gillooly, J.F., Allen, A.P., Savage, V.M., West, G.B., 2004. Toward a metabolic theory of ecology. Ecology 85, 1771–1789. https://doi.org/10.1890/03-9000</w:t>
      </w:r>
    </w:p>
    <w:p w14:paraId="3202B562" w14:textId="77777777" w:rsidR="008F3A80" w:rsidRPr="008F3A80" w:rsidRDefault="008F3A80" w:rsidP="008F3A80">
      <w:pPr>
        <w:pStyle w:val="af0"/>
        <w:rPr>
          <w:rFonts w:ascii="Calibri" w:hAnsi="Calibri" w:cs="Calibri"/>
        </w:rPr>
      </w:pPr>
      <w:r w:rsidRPr="008F3A80">
        <w:rPr>
          <w:rFonts w:ascii="Calibri" w:hAnsi="Calibri" w:cs="Calibri"/>
        </w:rPr>
        <w:t>Burnham, K.P., Anderson, D.R., 2002. Model selection and multimodel inference: a practical information-theorectic approach, 2nd ed. Springer, New York, NY.</w:t>
      </w:r>
    </w:p>
    <w:p w14:paraId="2CF53816" w14:textId="77777777" w:rsidR="008F3A80" w:rsidRPr="008F3A80" w:rsidRDefault="008F3A80" w:rsidP="008F3A80">
      <w:pPr>
        <w:pStyle w:val="af0"/>
        <w:rPr>
          <w:rFonts w:ascii="Calibri" w:hAnsi="Calibri" w:cs="Calibri"/>
        </w:rPr>
      </w:pPr>
      <w:r w:rsidRPr="008F3A80">
        <w:rPr>
          <w:rFonts w:ascii="Calibri" w:hAnsi="Calibri" w:cs="Calibri"/>
        </w:rPr>
        <w:t>Campanyà-Llovet, N., Snelgrove, P.V.R., Parrish, C.C., 2017. Rethinking the importance of food quality in marine benthic food webs. Progress in Oceanography 156, 240–251. https://doi.org/10.1016/j.pocean.2017.07.006</w:t>
      </w:r>
    </w:p>
    <w:p w14:paraId="56756268" w14:textId="77777777" w:rsidR="008F3A80" w:rsidRPr="008F3A80" w:rsidRDefault="008F3A80" w:rsidP="008F3A80">
      <w:pPr>
        <w:pStyle w:val="af0"/>
        <w:rPr>
          <w:rFonts w:ascii="Calibri" w:hAnsi="Calibri" w:cs="Calibri"/>
        </w:rPr>
      </w:pPr>
      <w:r w:rsidRPr="008F3A80">
        <w:rPr>
          <w:rFonts w:ascii="Calibri" w:hAnsi="Calibri" w:cs="Calibri"/>
        </w:rPr>
        <w:t>Carter, L., Milliman, J.D., Talling, P.J., Gavey, R., Wynn, R.B., 2012. Near-synchronous and delayed initiation of long run-out submarine sediment flows from a record-breaking river flood, offshore Taiwan. Geophysical Research Letters 39. https://doi.org/10.1029/2012GL051172</w:t>
      </w:r>
    </w:p>
    <w:p w14:paraId="704D1562" w14:textId="77777777" w:rsidR="008F3A80" w:rsidRPr="008F3A80" w:rsidRDefault="008F3A80" w:rsidP="008F3A80">
      <w:pPr>
        <w:pStyle w:val="af0"/>
        <w:rPr>
          <w:rFonts w:ascii="Calibri" w:hAnsi="Calibri" w:cs="Calibri"/>
        </w:rPr>
      </w:pPr>
      <w:r w:rsidRPr="008F3A80">
        <w:rPr>
          <w:rFonts w:ascii="Calibri" w:hAnsi="Calibri" w:cs="Calibri"/>
        </w:rPr>
        <w:t>Dormann, C.F., Elith, J., Bacher, S., Buchmann, C., Carl, G., Carré, G., Marquéz, J.R.G., Gruber, B., Lafourcade, B., Leitão, P.J., Münkemüller, T., McClean, C., Osborne, P.E., Reineking, B., Schröder, B., Skidmore, A.K., Zurell, D., Lautenbach, S., 2013. Collinearity: a review of methods to deal with it and a simulation study evaluating their performance. Ecography 36, 27–46. https://doi.org/10.1111/j.1600-0587.2012.07348.x</w:t>
      </w:r>
    </w:p>
    <w:p w14:paraId="583A3621" w14:textId="77777777" w:rsidR="008F3A80" w:rsidRPr="008F3A80" w:rsidRDefault="008F3A80" w:rsidP="008F3A80">
      <w:pPr>
        <w:pStyle w:val="af0"/>
        <w:rPr>
          <w:rFonts w:ascii="Calibri" w:hAnsi="Calibri" w:cs="Calibri"/>
        </w:rPr>
      </w:pPr>
      <w:r w:rsidRPr="008F3A80">
        <w:rPr>
          <w:rFonts w:ascii="Calibri" w:hAnsi="Calibri" w:cs="Calibri"/>
        </w:rPr>
        <w:t>Glud, R.N., 2008. Oxygen dynamics of marine sediments. Marine Biology Research 4, 243–289. https://doi.org/10.1080/17451000801888726</w:t>
      </w:r>
    </w:p>
    <w:p w14:paraId="4C3B6E9F" w14:textId="77777777" w:rsidR="008F3A80" w:rsidRPr="008F3A80" w:rsidRDefault="008F3A80" w:rsidP="008F3A80">
      <w:pPr>
        <w:pStyle w:val="af0"/>
        <w:rPr>
          <w:rFonts w:ascii="Calibri" w:hAnsi="Calibri" w:cs="Calibri"/>
        </w:rPr>
      </w:pPr>
      <w:r w:rsidRPr="008F3A80">
        <w:rPr>
          <w:rFonts w:ascii="Calibri" w:hAnsi="Calibri" w:cs="Calibri"/>
        </w:rPr>
        <w:t>Kao, S.-J., Shiah, F.-K., Wang, C.-H., Liu, K.-K., 2006. Efficient trapping of organic carbon in sediments on the continental margin with high fluvial sediment input off southwestern Taiwan. Continental Shelf Research 26, 2520–2537. https://doi.org/10.1016/j.csr.2006.07.030</w:t>
      </w:r>
    </w:p>
    <w:p w14:paraId="1F0FB36A" w14:textId="77777777" w:rsidR="008F3A80" w:rsidRPr="008F3A80" w:rsidRDefault="008F3A80" w:rsidP="008F3A80">
      <w:pPr>
        <w:pStyle w:val="af0"/>
        <w:rPr>
          <w:rFonts w:ascii="Calibri" w:hAnsi="Calibri" w:cs="Calibri"/>
        </w:rPr>
      </w:pPr>
      <w:r w:rsidRPr="008F3A80">
        <w:rPr>
          <w:rFonts w:ascii="Calibri" w:hAnsi="Calibri" w:cs="Calibri"/>
        </w:rPr>
        <w:t>Legendre, P., Borcard, D., 2018. Box–Cox-chord transformations for community composition data prior to beta diversity analysis. Ecography 41, 1820–1824. https://doi.org/10.1111/ecog.03498</w:t>
      </w:r>
    </w:p>
    <w:p w14:paraId="3862A155" w14:textId="77777777" w:rsidR="008F3A80" w:rsidRPr="008F3A80" w:rsidRDefault="008F3A80" w:rsidP="008F3A80">
      <w:pPr>
        <w:pStyle w:val="af0"/>
        <w:rPr>
          <w:rFonts w:ascii="Calibri" w:hAnsi="Calibri" w:cs="Calibri"/>
        </w:rPr>
      </w:pPr>
      <w:r w:rsidRPr="008F3A80">
        <w:rPr>
          <w:rFonts w:ascii="Calibri" w:hAnsi="Calibri" w:cs="Calibri"/>
        </w:rPr>
        <w:t>Lin, Y.-C., Su, Y.-F., Fu, H.-H., Wang, Y.-T., Shih, H.-J., Liang, T.-Y., Yeh, S.-H., Chen, W.-P., Chang, C.-H., 2020. 2019 Typhoon events.</w:t>
      </w:r>
    </w:p>
    <w:p w14:paraId="3AD3F9B8" w14:textId="77777777" w:rsidR="008F3A80" w:rsidRPr="008F3A80" w:rsidRDefault="008F3A80" w:rsidP="008F3A80">
      <w:pPr>
        <w:pStyle w:val="af0"/>
        <w:rPr>
          <w:rFonts w:ascii="Calibri" w:hAnsi="Calibri" w:cs="Calibri"/>
        </w:rPr>
      </w:pPr>
      <w:r w:rsidRPr="008F3A80">
        <w:rPr>
          <w:rFonts w:ascii="Calibri" w:hAnsi="Calibri" w:cs="Calibri"/>
        </w:rPr>
        <w:t>Liu, J.T., Liu, K., Huang, J.C., 2002. The effect of a submarine canyon on the river sediment dispersal and inner shelf sediment movements in southern Taiwan. Marine Geology 181, 357–386. https://doi.org/10.1016/S0025-3227(01)00219-5</w:t>
      </w:r>
    </w:p>
    <w:p w14:paraId="711FD864" w14:textId="77777777" w:rsidR="008F3A80" w:rsidRPr="008F3A80" w:rsidRDefault="008F3A80" w:rsidP="008F3A80">
      <w:pPr>
        <w:pStyle w:val="af0"/>
        <w:rPr>
          <w:rFonts w:ascii="Calibri" w:hAnsi="Calibri" w:cs="Calibri"/>
        </w:rPr>
      </w:pPr>
      <w:r w:rsidRPr="008F3A80">
        <w:rPr>
          <w:rFonts w:ascii="Calibri" w:hAnsi="Calibri" w:cs="Calibri"/>
        </w:rPr>
        <w:t>Middelburg, J.J., Levin, L.A., 2009. Coastal hypoxia and sediment biogeochemistry. Biogeosciences 6, 1273–1293. https://doi.org/10.5194/bg-6-1273-2009</w:t>
      </w:r>
    </w:p>
    <w:p w14:paraId="6DBD5848" w14:textId="77777777" w:rsidR="008F3A80" w:rsidRPr="008F3A80" w:rsidRDefault="008F3A80" w:rsidP="008F3A80">
      <w:pPr>
        <w:pStyle w:val="af0"/>
        <w:rPr>
          <w:rFonts w:ascii="Calibri" w:hAnsi="Calibri" w:cs="Calibri"/>
        </w:rPr>
      </w:pPr>
      <w:r w:rsidRPr="008F3A80">
        <w:rPr>
          <w:rFonts w:ascii="Calibri" w:hAnsi="Calibri" w:cs="Calibri"/>
        </w:rPr>
        <w:t>Muff, S., Nilsen, E.B., O’Hara, R.B., Nater, C.R., 2022. Rewriting results sections in the language of evidence. Trends in Ecology &amp; Evolution 37, 203–210. https://doi.org/10.1016/j.tree.2021.10.009</w:t>
      </w:r>
    </w:p>
    <w:p w14:paraId="13F0A7FD" w14:textId="77777777" w:rsidR="008F3A80" w:rsidRPr="008F3A80" w:rsidRDefault="008F3A80" w:rsidP="008F3A80">
      <w:pPr>
        <w:pStyle w:val="af0"/>
        <w:rPr>
          <w:rFonts w:ascii="Calibri" w:hAnsi="Calibri" w:cs="Calibri"/>
        </w:rPr>
      </w:pPr>
      <w:r w:rsidRPr="008F3A80">
        <w:rPr>
          <w:rFonts w:ascii="Calibri" w:hAnsi="Calibri" w:cs="Calibri"/>
        </w:rPr>
        <w:t>Oksanen, J., F. Guillaume Blanchet, Michael Friendly, Roeland Kindt, Pierre Legendre, Dan McGlinn, Peter R. Minchin, R. B. O’Hara, Gavin L. Simpson, Peter Solymos, M. Henry H. Stevens, Eduard Szoecs, Helene Wagner, 2021. vegan: Community Ecology Package.</w:t>
      </w:r>
    </w:p>
    <w:p w14:paraId="126942B2" w14:textId="77777777" w:rsidR="008F3A80" w:rsidRPr="008F3A80" w:rsidRDefault="008F3A80" w:rsidP="008F3A80">
      <w:pPr>
        <w:pStyle w:val="af0"/>
        <w:rPr>
          <w:rFonts w:ascii="Calibri" w:hAnsi="Calibri" w:cs="Calibri"/>
        </w:rPr>
      </w:pPr>
      <w:r w:rsidRPr="008F3A80">
        <w:rPr>
          <w:rFonts w:ascii="Calibri" w:hAnsi="Calibri" w:cs="Calibri"/>
        </w:rPr>
        <w:t>R Core Team, 2020. R: A Language and Environment for Statistical Computing.</w:t>
      </w:r>
    </w:p>
    <w:p w14:paraId="6B305977" w14:textId="77777777" w:rsidR="008F3A80" w:rsidRPr="008F3A80" w:rsidRDefault="008F3A80" w:rsidP="008F3A80">
      <w:pPr>
        <w:pStyle w:val="af0"/>
        <w:rPr>
          <w:rFonts w:ascii="Calibri" w:hAnsi="Calibri" w:cs="Calibri"/>
        </w:rPr>
      </w:pPr>
      <w:r w:rsidRPr="008F3A80">
        <w:rPr>
          <w:rFonts w:ascii="Calibri" w:hAnsi="Calibri" w:cs="Calibri"/>
        </w:rPr>
        <w:t>Richards, S.A., 2008. Dealing with overdispersed count data in applied ecology. Journal of Applied Ecology 45, 218–227. https://doi.org/10.1111/j.1365-2664.2007.01377.x</w:t>
      </w:r>
    </w:p>
    <w:p w14:paraId="38E509EA" w14:textId="77777777" w:rsidR="008F3A80" w:rsidRPr="008F3A80" w:rsidRDefault="008F3A80" w:rsidP="008F3A80">
      <w:pPr>
        <w:pStyle w:val="af0"/>
        <w:rPr>
          <w:rFonts w:ascii="Calibri" w:hAnsi="Calibri" w:cs="Calibri"/>
        </w:rPr>
      </w:pPr>
      <w:r w:rsidRPr="008F3A80">
        <w:rPr>
          <w:rFonts w:ascii="Calibri" w:hAnsi="Calibri" w:cs="Calibri"/>
        </w:rPr>
        <w:t xml:space="preserve">Richards, S.A., 2005. Testing Ecological Theory Using the Information-Theoretic </w:t>
      </w:r>
      <w:r w:rsidRPr="008F3A80">
        <w:rPr>
          <w:rFonts w:ascii="Calibri" w:hAnsi="Calibri" w:cs="Calibri"/>
        </w:rPr>
        <w:lastRenderedPageBreak/>
        <w:t>Approach: Examples and Cautionary Results. Ecology 86, 2805–2814. https://doi.org/10.1890/05-0074</w:t>
      </w:r>
    </w:p>
    <w:p w14:paraId="45BA2E33" w14:textId="77777777" w:rsidR="008F3A80" w:rsidRPr="008F3A80" w:rsidRDefault="008F3A80" w:rsidP="008F3A80">
      <w:pPr>
        <w:pStyle w:val="af0"/>
        <w:rPr>
          <w:rFonts w:ascii="Calibri" w:hAnsi="Calibri" w:cs="Calibri"/>
        </w:rPr>
      </w:pPr>
      <w:r w:rsidRPr="008F3A80">
        <w:rPr>
          <w:rFonts w:ascii="Calibri" w:hAnsi="Calibri" w:cs="Calibri"/>
        </w:rPr>
        <w:t>Schloerke, B., Cook, D., Larmarange, J., Briatte, F., Marbach, M., Thoen, E., Elberg, A., Crowley, J., 2021. GGally: Extension to “ggplot2.”</w:t>
      </w:r>
    </w:p>
    <w:p w14:paraId="128B2C5A" w14:textId="77777777" w:rsidR="008F3A80" w:rsidRPr="008F3A80" w:rsidRDefault="008F3A80" w:rsidP="008F3A80">
      <w:pPr>
        <w:pStyle w:val="af0"/>
        <w:rPr>
          <w:rFonts w:ascii="Calibri" w:hAnsi="Calibri" w:cs="Calibri"/>
        </w:rPr>
      </w:pPr>
      <w:r w:rsidRPr="008F3A80">
        <w:rPr>
          <w:rFonts w:ascii="Calibri" w:hAnsi="Calibri" w:cs="Calibri"/>
        </w:rPr>
        <w:t>Slowikowski, K., 2021. ggrepel: Automatically Position Non-Overlapping Text Labels with “ggplot2.”</w:t>
      </w:r>
    </w:p>
    <w:p w14:paraId="003139AA" w14:textId="77777777" w:rsidR="008F3A80" w:rsidRPr="008F3A80" w:rsidRDefault="008F3A80" w:rsidP="008F3A80">
      <w:pPr>
        <w:pStyle w:val="af0"/>
        <w:rPr>
          <w:rFonts w:ascii="Calibri" w:hAnsi="Calibri" w:cs="Calibri"/>
        </w:rPr>
      </w:pPr>
      <w:r w:rsidRPr="008F3A80">
        <w:rPr>
          <w:rFonts w:ascii="Calibri" w:hAnsi="Calibri" w:cs="Calibri"/>
        </w:rPr>
        <w:t>Song, G., Liu, S., Zhu, Z., Zhai, W., Zhu, C., Zhang, J., 2016. Sediment oxygen consumption and benthic organic carbon mineralization on the continental shelves of the East China Sea and the Yellow Sea. Deep Sea Research Part II: Topical Studies in Oceanography 124, 53–63. https://doi.org/10.1016/j.dsr2.2015.04.012</w:t>
      </w:r>
    </w:p>
    <w:p w14:paraId="7B7DCE60" w14:textId="77777777" w:rsidR="008F3A80" w:rsidRPr="008F3A80" w:rsidRDefault="008F3A80" w:rsidP="008F3A80">
      <w:pPr>
        <w:pStyle w:val="af0"/>
        <w:rPr>
          <w:rFonts w:ascii="Calibri" w:hAnsi="Calibri" w:cs="Calibri"/>
        </w:rPr>
      </w:pPr>
      <w:r w:rsidRPr="008F3A80">
        <w:rPr>
          <w:rFonts w:ascii="Calibri" w:hAnsi="Calibri" w:cs="Calibri"/>
        </w:rPr>
        <w:t>Toussaint, F., Rabouille, C., Cathalot, C., Bombled, B., Abchiche, A., Aouji, O., Buchholtz, G., Clemençon, A., Geyskens, N., Répécaud, M., Pairaud, I., Verney, R., Tisnérat-Laborde, N., 2014. A new device to follow temporal variations of oxygen demand in deltaic sediments: the LSCE benthic station. Limnology and Oceanography: Methods 12, 729–741. https://doi.org/10.4319/lom.2014.12.729</w:t>
      </w:r>
    </w:p>
    <w:p w14:paraId="24632BBE" w14:textId="77777777" w:rsidR="008F3A80" w:rsidRPr="008F3A80" w:rsidRDefault="008F3A80" w:rsidP="008F3A80">
      <w:pPr>
        <w:pStyle w:val="af0"/>
        <w:rPr>
          <w:rFonts w:ascii="Calibri" w:hAnsi="Calibri" w:cs="Calibri"/>
          <w:lang w:val="da-DK"/>
        </w:rPr>
      </w:pPr>
      <w:r w:rsidRPr="008F3A80">
        <w:rPr>
          <w:rFonts w:ascii="Calibri" w:hAnsi="Calibri" w:cs="Calibri"/>
        </w:rPr>
        <w:t xml:space="preserve">Unisense A/S, 2020. </w:t>
      </w:r>
      <w:r w:rsidRPr="008F3A80">
        <w:rPr>
          <w:rFonts w:ascii="Calibri" w:hAnsi="Calibri" w:cs="Calibri"/>
          <w:lang w:val="da-DK"/>
        </w:rPr>
        <w:t>Oxygen sensor user manual.</w:t>
      </w:r>
    </w:p>
    <w:p w14:paraId="0B91EB6C" w14:textId="77777777" w:rsidR="008F3A80" w:rsidRPr="008F3A80" w:rsidRDefault="008F3A80" w:rsidP="008F3A80">
      <w:pPr>
        <w:pStyle w:val="af0"/>
        <w:rPr>
          <w:rFonts w:ascii="Calibri" w:hAnsi="Calibri" w:cs="Calibri"/>
        </w:rPr>
      </w:pPr>
      <w:r w:rsidRPr="008F3A80">
        <w:rPr>
          <w:rFonts w:ascii="Calibri" w:hAnsi="Calibri" w:cs="Calibri"/>
          <w:lang w:val="da-DK"/>
        </w:rPr>
        <w:t xml:space="preserve">Valiela, I., 2015. </w:t>
      </w:r>
      <w:r w:rsidRPr="008F3A80">
        <w:rPr>
          <w:rFonts w:ascii="Calibri" w:hAnsi="Calibri" w:cs="Calibri"/>
        </w:rPr>
        <w:t>Marine ecological processes, 3rd ed. Springer, New York.</w:t>
      </w:r>
    </w:p>
    <w:p w14:paraId="78014813" w14:textId="77777777" w:rsidR="008F3A80" w:rsidRPr="008F3A80" w:rsidRDefault="008F3A80" w:rsidP="008F3A80">
      <w:pPr>
        <w:pStyle w:val="af0"/>
        <w:rPr>
          <w:rFonts w:ascii="Calibri" w:hAnsi="Calibri" w:cs="Calibri"/>
        </w:rPr>
      </w:pPr>
      <w:r w:rsidRPr="008F3A80">
        <w:rPr>
          <w:rFonts w:ascii="Calibri" w:hAnsi="Calibri" w:cs="Calibri"/>
        </w:rPr>
        <w:t>Wheatcroft, R.A., 2006. Time-series measurements of macrobenthos abundance and sediment bioturbation intensity on a flood-dominated shelf. Progress in Oceanography 71, 88–122. https://doi.org/10.1016/j.pocean.2006.06.002</w:t>
      </w:r>
    </w:p>
    <w:p w14:paraId="643709CB" w14:textId="77777777" w:rsidR="008F3A80" w:rsidRPr="008F3A80" w:rsidRDefault="008F3A80" w:rsidP="008F3A80">
      <w:pPr>
        <w:pStyle w:val="af0"/>
        <w:rPr>
          <w:rFonts w:ascii="Calibri" w:hAnsi="Calibri" w:cs="Calibri"/>
        </w:rPr>
      </w:pPr>
      <w:r w:rsidRPr="008F3A80">
        <w:rPr>
          <w:rFonts w:ascii="Calibri" w:hAnsi="Calibri" w:cs="Calibri"/>
        </w:rPr>
        <w:t>Wheatcroft, R.A., Borgeld, J.C., Born, R.S., Drake, D.E., Leithold, E.L., Nittrouer, C.A., Sommerfield, C.K., 1996. The anatomy of an oceanic flood deposit. Oceanography 9, 158–162.</w:t>
      </w:r>
    </w:p>
    <w:p w14:paraId="2E7FAB8E" w14:textId="77777777" w:rsidR="008F3A80" w:rsidRPr="008F3A80" w:rsidRDefault="008F3A80" w:rsidP="008F3A80">
      <w:pPr>
        <w:pStyle w:val="af0"/>
        <w:rPr>
          <w:rFonts w:ascii="Calibri" w:hAnsi="Calibri" w:cs="Calibri"/>
        </w:rPr>
      </w:pPr>
      <w:r w:rsidRPr="008F3A80">
        <w:rPr>
          <w:rFonts w:ascii="Calibri" w:hAnsi="Calibri" w:cs="Calibri"/>
        </w:rPr>
        <w:t>Wickham, H., 2021. tidyr: Tidy Messy Data.</w:t>
      </w:r>
    </w:p>
    <w:p w14:paraId="72E53542" w14:textId="77777777" w:rsidR="008F3A80" w:rsidRPr="008F3A80" w:rsidRDefault="008F3A80" w:rsidP="008F3A80">
      <w:pPr>
        <w:pStyle w:val="af0"/>
        <w:rPr>
          <w:rFonts w:ascii="Calibri" w:hAnsi="Calibri" w:cs="Calibri"/>
        </w:rPr>
      </w:pPr>
      <w:r w:rsidRPr="008F3A80">
        <w:rPr>
          <w:rFonts w:ascii="Calibri" w:hAnsi="Calibri" w:cs="Calibri"/>
        </w:rPr>
        <w:t>Wickham, H., 2016. ggplot2: elegant graphics for data analysis.</w:t>
      </w:r>
    </w:p>
    <w:p w14:paraId="5E391A8A" w14:textId="77777777" w:rsidR="008F3A80" w:rsidRPr="008F3A80" w:rsidRDefault="008F3A80" w:rsidP="008F3A80">
      <w:pPr>
        <w:pStyle w:val="af0"/>
        <w:rPr>
          <w:rFonts w:ascii="Calibri" w:hAnsi="Calibri" w:cs="Calibri"/>
        </w:rPr>
      </w:pPr>
      <w:r w:rsidRPr="008F3A80">
        <w:rPr>
          <w:rFonts w:ascii="Calibri" w:hAnsi="Calibri" w:cs="Calibri"/>
        </w:rPr>
        <w:t>Wickham, H., Francois, R., Henry, L., Muller, K., 2021. dplyr: A Grammar of Data Manipulation.</w:t>
      </w:r>
    </w:p>
    <w:p w14:paraId="50DACE8C" w14:textId="796BD762" w:rsidR="005B0207" w:rsidRDefault="005B0207" w:rsidP="00577380">
      <w:r>
        <w:fldChar w:fldCharType="end"/>
      </w:r>
    </w:p>
    <w:sectPr w:rsidR="005B0207" w:rsidSect="00934839">
      <w:pgSz w:w="11906" w:h="16838"/>
      <w:pgMar w:top="1440" w:right="1800" w:bottom="1440" w:left="1800" w:header="851" w:footer="992" w:gutter="0"/>
      <w:lnNumType w:countBy="1"/>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en, Yen-Ting" w:date="2023-09-01T20:02:00Z" w:initials="YT">
    <w:p w14:paraId="4F87F710" w14:textId="77777777" w:rsidR="00182693" w:rsidRDefault="00182693" w:rsidP="00577380">
      <w:pPr>
        <w:pStyle w:val="a5"/>
      </w:pPr>
      <w:r>
        <w:rPr>
          <w:rStyle w:val="a4"/>
        </w:rPr>
        <w:annotationRef/>
      </w:r>
      <w:r>
        <w:t>Tentative title</w:t>
      </w:r>
    </w:p>
    <w:p w14:paraId="1897BA1C" w14:textId="225F7735" w:rsidR="00182693" w:rsidRDefault="00182693" w:rsidP="00577380">
      <w:pPr>
        <w:pStyle w:val="a5"/>
      </w:pPr>
      <w:r>
        <w:t>Estuarine, coastal, and shelf science requirements:</w:t>
      </w:r>
      <w:r>
        <w:br/>
        <w:t>Mandatory graphical abstract</w:t>
      </w:r>
    </w:p>
    <w:p w14:paraId="66BF97DF" w14:textId="4389CD59" w:rsidR="00182693" w:rsidRDefault="00182693" w:rsidP="00577380">
      <w:pPr>
        <w:pStyle w:val="a5"/>
      </w:pPr>
      <w:r>
        <w:t>No more than 8000 words</w:t>
      </w:r>
    </w:p>
    <w:p w14:paraId="792C7FF3" w14:textId="5F43AEBB" w:rsidR="00182693" w:rsidRDefault="00182693" w:rsidP="00577380">
      <w:pPr>
        <w:pStyle w:val="a5"/>
      </w:pPr>
      <w:r>
        <w:t>Not more than 8 figures and 3 tables</w:t>
      </w:r>
    </w:p>
  </w:comment>
  <w:comment w:id="1" w:author="Chen, Yen-Ting" w:date="2023-09-01T20:53:00Z" w:initials="YT">
    <w:p w14:paraId="26FC915C" w14:textId="135D71ED" w:rsidR="00182693" w:rsidRDefault="00182693" w:rsidP="00577380">
      <w:pPr>
        <w:pStyle w:val="a5"/>
      </w:pPr>
      <w:r>
        <w:rPr>
          <w:rStyle w:val="a4"/>
        </w:rPr>
        <w:annotationRef/>
      </w:r>
      <w:r>
        <w:t>I will fact check this</w:t>
      </w:r>
    </w:p>
  </w:comment>
  <w:comment w:id="2" w:author="Chen, Yen-Ting" w:date="2023-09-10T23:43:00Z" w:initials="YT">
    <w:p w14:paraId="0FC46A17" w14:textId="7D4A89F0" w:rsidR="00182693" w:rsidRDefault="00182693">
      <w:pPr>
        <w:pStyle w:val="a5"/>
      </w:pPr>
      <w:r>
        <w:rPr>
          <w:rStyle w:val="a4"/>
        </w:rPr>
        <w:annotationRef/>
      </w:r>
      <w:r>
        <w:t>Come up with a new word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2C7FF3" w15:done="0"/>
  <w15:commentEx w15:paraId="26FC915C" w15:done="0"/>
  <w15:commentEx w15:paraId="0FC46A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2C7FF3" w16cid:durableId="289CC1CB"/>
  <w16cid:commentId w16cid:paraId="26FC915C" w16cid:durableId="289CCDC5"/>
  <w16cid:commentId w16cid:paraId="0FC46A17" w16cid:durableId="28A8D3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2B5F4" w14:textId="77777777" w:rsidR="00AF41B5" w:rsidRDefault="00AF41B5" w:rsidP="00577380">
      <w:r>
        <w:separator/>
      </w:r>
    </w:p>
  </w:endnote>
  <w:endnote w:type="continuationSeparator" w:id="0">
    <w:p w14:paraId="6BE3146B" w14:textId="77777777" w:rsidR="00AF41B5" w:rsidRDefault="00AF41B5" w:rsidP="00577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3C941" w14:textId="77777777" w:rsidR="00AF41B5" w:rsidRDefault="00AF41B5" w:rsidP="00577380">
      <w:r>
        <w:separator/>
      </w:r>
    </w:p>
  </w:footnote>
  <w:footnote w:type="continuationSeparator" w:id="0">
    <w:p w14:paraId="595B00EB" w14:textId="77777777" w:rsidR="00AF41B5" w:rsidRDefault="00AF41B5" w:rsidP="00577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6F0D"/>
    <w:multiLevelType w:val="hybridMultilevel"/>
    <w:tmpl w:val="3BC43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215356"/>
    <w:multiLevelType w:val="multilevel"/>
    <w:tmpl w:val="84DE9B54"/>
    <w:lvl w:ilvl="0">
      <w:start w:val="1"/>
      <w:numFmt w:val="decimal"/>
      <w:pStyle w:val="Title1"/>
      <w:lvlText w:val="%1."/>
      <w:lvlJc w:val="left"/>
      <w:pPr>
        <w:ind w:left="425" w:hanging="425"/>
      </w:pPr>
      <w:rPr>
        <w:rFonts w:hint="eastAsia"/>
      </w:rPr>
    </w:lvl>
    <w:lvl w:ilvl="1">
      <w:start w:val="1"/>
      <w:numFmt w:val="decimal"/>
      <w:pStyle w:val="Title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27EA087C"/>
    <w:multiLevelType w:val="multilevel"/>
    <w:tmpl w:val="78167A6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8656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1927504"/>
    <w:multiLevelType w:val="multilevel"/>
    <w:tmpl w:val="A700169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49C2499E"/>
    <w:multiLevelType w:val="hybridMultilevel"/>
    <w:tmpl w:val="DEAAB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5213B7"/>
    <w:multiLevelType w:val="hybridMultilevel"/>
    <w:tmpl w:val="F96659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CB25A2"/>
    <w:multiLevelType w:val="hybridMultilevel"/>
    <w:tmpl w:val="04302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004A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6BC0A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E6B4192"/>
    <w:multiLevelType w:val="hybridMultilevel"/>
    <w:tmpl w:val="68F88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9"/>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8"/>
  </w:num>
  <w:num w:numId="8">
    <w:abstractNumId w:val="4"/>
  </w:num>
  <w:num w:numId="9">
    <w:abstractNumId w:val="0"/>
  </w:num>
  <w:num w:numId="10">
    <w:abstractNumId w:val="5"/>
  </w:num>
  <w:num w:numId="11">
    <w:abstractNumId w:val="10"/>
  </w:num>
  <w:num w:numId="12">
    <w:abstractNumId w:val="6"/>
  </w:num>
  <w:num w:numId="13">
    <w:abstractNumId w:val="1"/>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n, Yen-Ting">
    <w15:presenceInfo w15:providerId="None" w15:userId="Chen, Yen-T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9D"/>
    <w:rsid w:val="00003603"/>
    <w:rsid w:val="00003F9B"/>
    <w:rsid w:val="00007FF0"/>
    <w:rsid w:val="00010A81"/>
    <w:rsid w:val="000140FA"/>
    <w:rsid w:val="00014B2B"/>
    <w:rsid w:val="00017C2F"/>
    <w:rsid w:val="000258C2"/>
    <w:rsid w:val="00030ED6"/>
    <w:rsid w:val="00032C06"/>
    <w:rsid w:val="00032E4E"/>
    <w:rsid w:val="00034D94"/>
    <w:rsid w:val="000363BD"/>
    <w:rsid w:val="000447C5"/>
    <w:rsid w:val="0005012C"/>
    <w:rsid w:val="00056F8E"/>
    <w:rsid w:val="00057362"/>
    <w:rsid w:val="00057834"/>
    <w:rsid w:val="00060B99"/>
    <w:rsid w:val="00060F9A"/>
    <w:rsid w:val="0006386B"/>
    <w:rsid w:val="00067757"/>
    <w:rsid w:val="00071116"/>
    <w:rsid w:val="00084CE2"/>
    <w:rsid w:val="00085EA1"/>
    <w:rsid w:val="000932D5"/>
    <w:rsid w:val="000953FA"/>
    <w:rsid w:val="00097F40"/>
    <w:rsid w:val="000A038A"/>
    <w:rsid w:val="000A32B0"/>
    <w:rsid w:val="000A50B7"/>
    <w:rsid w:val="000A5222"/>
    <w:rsid w:val="000B09CB"/>
    <w:rsid w:val="000B3B8E"/>
    <w:rsid w:val="000C3A73"/>
    <w:rsid w:val="000D001B"/>
    <w:rsid w:val="000D118D"/>
    <w:rsid w:val="000D1300"/>
    <w:rsid w:val="000E0BFC"/>
    <w:rsid w:val="000E1DAD"/>
    <w:rsid w:val="000E6729"/>
    <w:rsid w:val="000F1D0C"/>
    <w:rsid w:val="000F761E"/>
    <w:rsid w:val="0011500B"/>
    <w:rsid w:val="00117E90"/>
    <w:rsid w:val="00122F68"/>
    <w:rsid w:val="001239CC"/>
    <w:rsid w:val="001258FA"/>
    <w:rsid w:val="00135B6B"/>
    <w:rsid w:val="001423B1"/>
    <w:rsid w:val="001523C3"/>
    <w:rsid w:val="0015585D"/>
    <w:rsid w:val="00160B6B"/>
    <w:rsid w:val="00161035"/>
    <w:rsid w:val="0017572A"/>
    <w:rsid w:val="0017616C"/>
    <w:rsid w:val="0017617E"/>
    <w:rsid w:val="00182693"/>
    <w:rsid w:val="00184934"/>
    <w:rsid w:val="00184F99"/>
    <w:rsid w:val="00185240"/>
    <w:rsid w:val="0019104F"/>
    <w:rsid w:val="001A5949"/>
    <w:rsid w:val="001B025C"/>
    <w:rsid w:val="001B1D8C"/>
    <w:rsid w:val="001B4B43"/>
    <w:rsid w:val="001D0CAF"/>
    <w:rsid w:val="001D41EE"/>
    <w:rsid w:val="001D585C"/>
    <w:rsid w:val="001E4CBB"/>
    <w:rsid w:val="001E76AC"/>
    <w:rsid w:val="001F1E5D"/>
    <w:rsid w:val="001F25F9"/>
    <w:rsid w:val="001F2CA9"/>
    <w:rsid w:val="001F3A48"/>
    <w:rsid w:val="001F4ADD"/>
    <w:rsid w:val="001F55A9"/>
    <w:rsid w:val="00204BBE"/>
    <w:rsid w:val="0020647B"/>
    <w:rsid w:val="002133CA"/>
    <w:rsid w:val="002266DD"/>
    <w:rsid w:val="00226EA8"/>
    <w:rsid w:val="002275A8"/>
    <w:rsid w:val="00236575"/>
    <w:rsid w:val="00244A44"/>
    <w:rsid w:val="002506A6"/>
    <w:rsid w:val="00251635"/>
    <w:rsid w:val="00260380"/>
    <w:rsid w:val="00264351"/>
    <w:rsid w:val="002652DA"/>
    <w:rsid w:val="0026758C"/>
    <w:rsid w:val="0027687C"/>
    <w:rsid w:val="002817F5"/>
    <w:rsid w:val="00297D73"/>
    <w:rsid w:val="002A0FE5"/>
    <w:rsid w:val="002A22B0"/>
    <w:rsid w:val="002A2330"/>
    <w:rsid w:val="002A6686"/>
    <w:rsid w:val="002C0BFE"/>
    <w:rsid w:val="002C1ADA"/>
    <w:rsid w:val="002C3A0C"/>
    <w:rsid w:val="002C3FD8"/>
    <w:rsid w:val="002C774B"/>
    <w:rsid w:val="002D0795"/>
    <w:rsid w:val="002D3F75"/>
    <w:rsid w:val="002D6D3B"/>
    <w:rsid w:val="002F132B"/>
    <w:rsid w:val="002F2154"/>
    <w:rsid w:val="002F7B73"/>
    <w:rsid w:val="00304E05"/>
    <w:rsid w:val="00315BA3"/>
    <w:rsid w:val="003233C2"/>
    <w:rsid w:val="00330377"/>
    <w:rsid w:val="00333220"/>
    <w:rsid w:val="00337B75"/>
    <w:rsid w:val="00341550"/>
    <w:rsid w:val="00342473"/>
    <w:rsid w:val="00346C19"/>
    <w:rsid w:val="00355D8B"/>
    <w:rsid w:val="003677ED"/>
    <w:rsid w:val="0037566E"/>
    <w:rsid w:val="0037699D"/>
    <w:rsid w:val="00376BD4"/>
    <w:rsid w:val="00380EB6"/>
    <w:rsid w:val="00383B79"/>
    <w:rsid w:val="003B0C7A"/>
    <w:rsid w:val="003B333C"/>
    <w:rsid w:val="003B37B8"/>
    <w:rsid w:val="003D20E1"/>
    <w:rsid w:val="003D4F71"/>
    <w:rsid w:val="003E72BD"/>
    <w:rsid w:val="003F2EBE"/>
    <w:rsid w:val="003F5481"/>
    <w:rsid w:val="003F5519"/>
    <w:rsid w:val="004307C0"/>
    <w:rsid w:val="0043219A"/>
    <w:rsid w:val="00432FDF"/>
    <w:rsid w:val="0043499F"/>
    <w:rsid w:val="004377F8"/>
    <w:rsid w:val="00441EC0"/>
    <w:rsid w:val="00452AA7"/>
    <w:rsid w:val="004546F0"/>
    <w:rsid w:val="004561E1"/>
    <w:rsid w:val="00461F2A"/>
    <w:rsid w:val="00466CE7"/>
    <w:rsid w:val="0046700D"/>
    <w:rsid w:val="00473AE6"/>
    <w:rsid w:val="0048039B"/>
    <w:rsid w:val="00486281"/>
    <w:rsid w:val="00492837"/>
    <w:rsid w:val="004960F9"/>
    <w:rsid w:val="004966D6"/>
    <w:rsid w:val="004A179A"/>
    <w:rsid w:val="004B44CD"/>
    <w:rsid w:val="004B44E5"/>
    <w:rsid w:val="004C353E"/>
    <w:rsid w:val="004C51C3"/>
    <w:rsid w:val="004C7EC9"/>
    <w:rsid w:val="004E08A3"/>
    <w:rsid w:val="004E115B"/>
    <w:rsid w:val="004E14CE"/>
    <w:rsid w:val="004E22B6"/>
    <w:rsid w:val="004F0C52"/>
    <w:rsid w:val="004F4F5B"/>
    <w:rsid w:val="00502E31"/>
    <w:rsid w:val="0050333C"/>
    <w:rsid w:val="0050526C"/>
    <w:rsid w:val="005206D3"/>
    <w:rsid w:val="0052330A"/>
    <w:rsid w:val="0052608F"/>
    <w:rsid w:val="0052687C"/>
    <w:rsid w:val="00526A57"/>
    <w:rsid w:val="00530514"/>
    <w:rsid w:val="00534F09"/>
    <w:rsid w:val="0054659A"/>
    <w:rsid w:val="005516C5"/>
    <w:rsid w:val="00551EC8"/>
    <w:rsid w:val="005616BB"/>
    <w:rsid w:val="00561DBA"/>
    <w:rsid w:val="00566772"/>
    <w:rsid w:val="0057453E"/>
    <w:rsid w:val="0057716D"/>
    <w:rsid w:val="00577380"/>
    <w:rsid w:val="00592BEB"/>
    <w:rsid w:val="005973BC"/>
    <w:rsid w:val="005A6D9A"/>
    <w:rsid w:val="005B0207"/>
    <w:rsid w:val="005B1774"/>
    <w:rsid w:val="005C4000"/>
    <w:rsid w:val="005C6C29"/>
    <w:rsid w:val="005C6D22"/>
    <w:rsid w:val="005C726D"/>
    <w:rsid w:val="005D2ECE"/>
    <w:rsid w:val="005D761B"/>
    <w:rsid w:val="005E2050"/>
    <w:rsid w:val="005F2BEE"/>
    <w:rsid w:val="005F39B0"/>
    <w:rsid w:val="00617A54"/>
    <w:rsid w:val="00622EA4"/>
    <w:rsid w:val="0062468E"/>
    <w:rsid w:val="0063082C"/>
    <w:rsid w:val="00642701"/>
    <w:rsid w:val="006503AB"/>
    <w:rsid w:val="006513E3"/>
    <w:rsid w:val="00657F2E"/>
    <w:rsid w:val="00663F7A"/>
    <w:rsid w:val="006654FC"/>
    <w:rsid w:val="006669F5"/>
    <w:rsid w:val="0067188B"/>
    <w:rsid w:val="00676B78"/>
    <w:rsid w:val="0067743C"/>
    <w:rsid w:val="00677B2B"/>
    <w:rsid w:val="00683889"/>
    <w:rsid w:val="0069054C"/>
    <w:rsid w:val="00696343"/>
    <w:rsid w:val="00697D92"/>
    <w:rsid w:val="006A044E"/>
    <w:rsid w:val="006B0DFC"/>
    <w:rsid w:val="006B3EBF"/>
    <w:rsid w:val="006C2CE1"/>
    <w:rsid w:val="006C627E"/>
    <w:rsid w:val="006D37AB"/>
    <w:rsid w:val="006D4CC7"/>
    <w:rsid w:val="006D5CF3"/>
    <w:rsid w:val="006E27F3"/>
    <w:rsid w:val="006E405E"/>
    <w:rsid w:val="006F7AF0"/>
    <w:rsid w:val="0071746D"/>
    <w:rsid w:val="00721A1A"/>
    <w:rsid w:val="007266E1"/>
    <w:rsid w:val="00730D94"/>
    <w:rsid w:val="007410D8"/>
    <w:rsid w:val="00745EA6"/>
    <w:rsid w:val="00757517"/>
    <w:rsid w:val="00762810"/>
    <w:rsid w:val="00764A29"/>
    <w:rsid w:val="00775B1F"/>
    <w:rsid w:val="00785A15"/>
    <w:rsid w:val="00792C26"/>
    <w:rsid w:val="00793EA1"/>
    <w:rsid w:val="007A04B6"/>
    <w:rsid w:val="007A21DD"/>
    <w:rsid w:val="007A62BE"/>
    <w:rsid w:val="007B43DF"/>
    <w:rsid w:val="007C130A"/>
    <w:rsid w:val="007C714E"/>
    <w:rsid w:val="007C715D"/>
    <w:rsid w:val="007D191B"/>
    <w:rsid w:val="007D36E0"/>
    <w:rsid w:val="007D3D4A"/>
    <w:rsid w:val="007D60A0"/>
    <w:rsid w:val="007E06BB"/>
    <w:rsid w:val="007E28A3"/>
    <w:rsid w:val="007F389A"/>
    <w:rsid w:val="007F3A1F"/>
    <w:rsid w:val="007F708F"/>
    <w:rsid w:val="0080512A"/>
    <w:rsid w:val="00830B30"/>
    <w:rsid w:val="00831F44"/>
    <w:rsid w:val="00836558"/>
    <w:rsid w:val="00843846"/>
    <w:rsid w:val="0084425D"/>
    <w:rsid w:val="00844B03"/>
    <w:rsid w:val="0084763A"/>
    <w:rsid w:val="00851C16"/>
    <w:rsid w:val="00855FAA"/>
    <w:rsid w:val="00861E01"/>
    <w:rsid w:val="00866128"/>
    <w:rsid w:val="00867D59"/>
    <w:rsid w:val="00870A6A"/>
    <w:rsid w:val="00873039"/>
    <w:rsid w:val="00875BC5"/>
    <w:rsid w:val="00885FB1"/>
    <w:rsid w:val="00890B2B"/>
    <w:rsid w:val="00895BC0"/>
    <w:rsid w:val="008A6549"/>
    <w:rsid w:val="008B1472"/>
    <w:rsid w:val="008B5C54"/>
    <w:rsid w:val="008C166F"/>
    <w:rsid w:val="008C5B07"/>
    <w:rsid w:val="008C7EBE"/>
    <w:rsid w:val="008D29B6"/>
    <w:rsid w:val="008D2D46"/>
    <w:rsid w:val="008D5AC9"/>
    <w:rsid w:val="008E11EF"/>
    <w:rsid w:val="008E4427"/>
    <w:rsid w:val="008F0CE4"/>
    <w:rsid w:val="008F3A80"/>
    <w:rsid w:val="008F6C6F"/>
    <w:rsid w:val="009043AB"/>
    <w:rsid w:val="0093423C"/>
    <w:rsid w:val="00934839"/>
    <w:rsid w:val="00942DDC"/>
    <w:rsid w:val="00952858"/>
    <w:rsid w:val="00952BC5"/>
    <w:rsid w:val="009604BE"/>
    <w:rsid w:val="009727B3"/>
    <w:rsid w:val="00975F38"/>
    <w:rsid w:val="009778EF"/>
    <w:rsid w:val="00980706"/>
    <w:rsid w:val="00980A9A"/>
    <w:rsid w:val="00981D2D"/>
    <w:rsid w:val="0098589E"/>
    <w:rsid w:val="00991FAB"/>
    <w:rsid w:val="009931E2"/>
    <w:rsid w:val="00995261"/>
    <w:rsid w:val="00995D82"/>
    <w:rsid w:val="009A23F8"/>
    <w:rsid w:val="009A5322"/>
    <w:rsid w:val="009A7547"/>
    <w:rsid w:val="009B0A91"/>
    <w:rsid w:val="009B1F7D"/>
    <w:rsid w:val="009B3C09"/>
    <w:rsid w:val="009B44E0"/>
    <w:rsid w:val="009C219B"/>
    <w:rsid w:val="009C4D24"/>
    <w:rsid w:val="009D15E0"/>
    <w:rsid w:val="009D5234"/>
    <w:rsid w:val="009D7647"/>
    <w:rsid w:val="009D795B"/>
    <w:rsid w:val="00A02794"/>
    <w:rsid w:val="00A03DC6"/>
    <w:rsid w:val="00A04402"/>
    <w:rsid w:val="00A06A9E"/>
    <w:rsid w:val="00A10ECE"/>
    <w:rsid w:val="00A11B2E"/>
    <w:rsid w:val="00A17750"/>
    <w:rsid w:val="00A20D3E"/>
    <w:rsid w:val="00A21C03"/>
    <w:rsid w:val="00A22B49"/>
    <w:rsid w:val="00A23BF0"/>
    <w:rsid w:val="00A26114"/>
    <w:rsid w:val="00A30BC8"/>
    <w:rsid w:val="00A40B13"/>
    <w:rsid w:val="00A55064"/>
    <w:rsid w:val="00A611D9"/>
    <w:rsid w:val="00A6732E"/>
    <w:rsid w:val="00A71AEF"/>
    <w:rsid w:val="00A75BF6"/>
    <w:rsid w:val="00A77FD2"/>
    <w:rsid w:val="00A86F85"/>
    <w:rsid w:val="00A874E5"/>
    <w:rsid w:val="00AA15BF"/>
    <w:rsid w:val="00AA60EE"/>
    <w:rsid w:val="00AA67C5"/>
    <w:rsid w:val="00AB3B4F"/>
    <w:rsid w:val="00AB447B"/>
    <w:rsid w:val="00AB44EE"/>
    <w:rsid w:val="00AD42AC"/>
    <w:rsid w:val="00AD72BE"/>
    <w:rsid w:val="00AE0199"/>
    <w:rsid w:val="00AE3B88"/>
    <w:rsid w:val="00AF39F9"/>
    <w:rsid w:val="00AF41B5"/>
    <w:rsid w:val="00AF4401"/>
    <w:rsid w:val="00AF5636"/>
    <w:rsid w:val="00AF6DA0"/>
    <w:rsid w:val="00B02C31"/>
    <w:rsid w:val="00B03DF4"/>
    <w:rsid w:val="00B05483"/>
    <w:rsid w:val="00B0769A"/>
    <w:rsid w:val="00B13A3A"/>
    <w:rsid w:val="00B26E32"/>
    <w:rsid w:val="00B2762C"/>
    <w:rsid w:val="00B32EEB"/>
    <w:rsid w:val="00B3324A"/>
    <w:rsid w:val="00B428F4"/>
    <w:rsid w:val="00B4786B"/>
    <w:rsid w:val="00B632AB"/>
    <w:rsid w:val="00B66926"/>
    <w:rsid w:val="00B82CD9"/>
    <w:rsid w:val="00B86D10"/>
    <w:rsid w:val="00B87748"/>
    <w:rsid w:val="00BB07B7"/>
    <w:rsid w:val="00BC1CDE"/>
    <w:rsid w:val="00BC3D19"/>
    <w:rsid w:val="00BC3F1A"/>
    <w:rsid w:val="00BC5A6A"/>
    <w:rsid w:val="00BC7023"/>
    <w:rsid w:val="00BD17AD"/>
    <w:rsid w:val="00BF034C"/>
    <w:rsid w:val="00BF3177"/>
    <w:rsid w:val="00BF3625"/>
    <w:rsid w:val="00BF490D"/>
    <w:rsid w:val="00BF602D"/>
    <w:rsid w:val="00C02607"/>
    <w:rsid w:val="00C06552"/>
    <w:rsid w:val="00C072F9"/>
    <w:rsid w:val="00C11C96"/>
    <w:rsid w:val="00C14DFA"/>
    <w:rsid w:val="00C14EA8"/>
    <w:rsid w:val="00C16D16"/>
    <w:rsid w:val="00C23574"/>
    <w:rsid w:val="00C30F1C"/>
    <w:rsid w:val="00C32BE3"/>
    <w:rsid w:val="00C341C3"/>
    <w:rsid w:val="00C40620"/>
    <w:rsid w:val="00C41D14"/>
    <w:rsid w:val="00C433C8"/>
    <w:rsid w:val="00C56911"/>
    <w:rsid w:val="00C57AFE"/>
    <w:rsid w:val="00C613C8"/>
    <w:rsid w:val="00C62F27"/>
    <w:rsid w:val="00C66076"/>
    <w:rsid w:val="00C71636"/>
    <w:rsid w:val="00C727E8"/>
    <w:rsid w:val="00C769A0"/>
    <w:rsid w:val="00C77260"/>
    <w:rsid w:val="00C77C08"/>
    <w:rsid w:val="00C90799"/>
    <w:rsid w:val="00C90A98"/>
    <w:rsid w:val="00C90BEE"/>
    <w:rsid w:val="00C94F5E"/>
    <w:rsid w:val="00C965D0"/>
    <w:rsid w:val="00CA1609"/>
    <w:rsid w:val="00CA7D60"/>
    <w:rsid w:val="00CB21D9"/>
    <w:rsid w:val="00CB303F"/>
    <w:rsid w:val="00CC1A78"/>
    <w:rsid w:val="00CC1F2B"/>
    <w:rsid w:val="00CC2660"/>
    <w:rsid w:val="00CD229B"/>
    <w:rsid w:val="00CD5164"/>
    <w:rsid w:val="00CE06A1"/>
    <w:rsid w:val="00CF1135"/>
    <w:rsid w:val="00CF1BFB"/>
    <w:rsid w:val="00CF261F"/>
    <w:rsid w:val="00CF7DB9"/>
    <w:rsid w:val="00D141F1"/>
    <w:rsid w:val="00D22AFB"/>
    <w:rsid w:val="00D24CBE"/>
    <w:rsid w:val="00D2663C"/>
    <w:rsid w:val="00D34AA0"/>
    <w:rsid w:val="00D468E1"/>
    <w:rsid w:val="00D479FB"/>
    <w:rsid w:val="00D644E4"/>
    <w:rsid w:val="00D658CB"/>
    <w:rsid w:val="00D75052"/>
    <w:rsid w:val="00D77D39"/>
    <w:rsid w:val="00D84471"/>
    <w:rsid w:val="00D866C2"/>
    <w:rsid w:val="00D92786"/>
    <w:rsid w:val="00D9524C"/>
    <w:rsid w:val="00D96252"/>
    <w:rsid w:val="00DA33DA"/>
    <w:rsid w:val="00DA3CE4"/>
    <w:rsid w:val="00DA6271"/>
    <w:rsid w:val="00DB09D4"/>
    <w:rsid w:val="00DB26AF"/>
    <w:rsid w:val="00DB5057"/>
    <w:rsid w:val="00DD5A12"/>
    <w:rsid w:val="00DE0496"/>
    <w:rsid w:val="00DE2978"/>
    <w:rsid w:val="00DE2A3F"/>
    <w:rsid w:val="00DF40C4"/>
    <w:rsid w:val="00DF48EC"/>
    <w:rsid w:val="00DF74EA"/>
    <w:rsid w:val="00E0277E"/>
    <w:rsid w:val="00E0490B"/>
    <w:rsid w:val="00E07F70"/>
    <w:rsid w:val="00E100AF"/>
    <w:rsid w:val="00E15B6A"/>
    <w:rsid w:val="00E15C51"/>
    <w:rsid w:val="00E16803"/>
    <w:rsid w:val="00E17B20"/>
    <w:rsid w:val="00E220A6"/>
    <w:rsid w:val="00E27849"/>
    <w:rsid w:val="00E27A2F"/>
    <w:rsid w:val="00E3210D"/>
    <w:rsid w:val="00E3642C"/>
    <w:rsid w:val="00E3644B"/>
    <w:rsid w:val="00E364F2"/>
    <w:rsid w:val="00E3699B"/>
    <w:rsid w:val="00E559FF"/>
    <w:rsid w:val="00E61FE4"/>
    <w:rsid w:val="00E650B8"/>
    <w:rsid w:val="00E6647E"/>
    <w:rsid w:val="00E75A17"/>
    <w:rsid w:val="00E75F49"/>
    <w:rsid w:val="00E90F05"/>
    <w:rsid w:val="00EA014F"/>
    <w:rsid w:val="00EA0B3E"/>
    <w:rsid w:val="00EA2E1D"/>
    <w:rsid w:val="00EB46AB"/>
    <w:rsid w:val="00EE0278"/>
    <w:rsid w:val="00EE56E2"/>
    <w:rsid w:val="00EE7917"/>
    <w:rsid w:val="00EF64E8"/>
    <w:rsid w:val="00F04468"/>
    <w:rsid w:val="00F055D2"/>
    <w:rsid w:val="00F13BF1"/>
    <w:rsid w:val="00F239EB"/>
    <w:rsid w:val="00F44681"/>
    <w:rsid w:val="00F45185"/>
    <w:rsid w:val="00F47211"/>
    <w:rsid w:val="00F605FB"/>
    <w:rsid w:val="00F61E6E"/>
    <w:rsid w:val="00F6231E"/>
    <w:rsid w:val="00F667D6"/>
    <w:rsid w:val="00F821DB"/>
    <w:rsid w:val="00F91D39"/>
    <w:rsid w:val="00FA4F55"/>
    <w:rsid w:val="00FB1738"/>
    <w:rsid w:val="00FC2E1B"/>
    <w:rsid w:val="00FC7E1C"/>
    <w:rsid w:val="00FD4E6B"/>
    <w:rsid w:val="00FE4315"/>
    <w:rsid w:val="00FE5EDA"/>
    <w:rsid w:val="00FF054F"/>
    <w:rsid w:val="00FF4526"/>
    <w:rsid w:val="00FF6FE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4E014"/>
  <w15:chartTrackingRefBased/>
  <w15:docId w15:val="{35A8EEE2-A8F4-476C-883E-2C526079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77380"/>
    <w:pPr>
      <w:widowControl w:val="0"/>
      <w:spacing w:after="0" w:line="480" w:lineRule="auto"/>
      <w:ind w:firstLine="720"/>
      <w:jc w:val="both"/>
    </w:pPr>
    <w:rPr>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104F"/>
    <w:pPr>
      <w:ind w:left="720"/>
      <w:contextualSpacing/>
    </w:pPr>
  </w:style>
  <w:style w:type="character" w:styleId="a4">
    <w:name w:val="annotation reference"/>
    <w:basedOn w:val="a0"/>
    <w:uiPriority w:val="99"/>
    <w:semiHidden/>
    <w:unhideWhenUsed/>
    <w:rsid w:val="00991FAB"/>
    <w:rPr>
      <w:sz w:val="16"/>
      <w:szCs w:val="16"/>
    </w:rPr>
  </w:style>
  <w:style w:type="paragraph" w:styleId="a5">
    <w:name w:val="annotation text"/>
    <w:basedOn w:val="a"/>
    <w:link w:val="a6"/>
    <w:uiPriority w:val="99"/>
    <w:unhideWhenUsed/>
    <w:rsid w:val="00991FAB"/>
    <w:pPr>
      <w:spacing w:line="240" w:lineRule="auto"/>
    </w:pPr>
    <w:rPr>
      <w:sz w:val="20"/>
      <w:szCs w:val="20"/>
    </w:rPr>
  </w:style>
  <w:style w:type="character" w:customStyle="1" w:styleId="a6">
    <w:name w:val="註解文字 字元"/>
    <w:basedOn w:val="a0"/>
    <w:link w:val="a5"/>
    <w:uiPriority w:val="99"/>
    <w:rsid w:val="00991FAB"/>
    <w:rPr>
      <w:sz w:val="20"/>
      <w:szCs w:val="20"/>
    </w:rPr>
  </w:style>
  <w:style w:type="paragraph" w:styleId="a7">
    <w:name w:val="annotation subject"/>
    <w:basedOn w:val="a5"/>
    <w:next w:val="a5"/>
    <w:link w:val="a8"/>
    <w:uiPriority w:val="99"/>
    <w:semiHidden/>
    <w:unhideWhenUsed/>
    <w:rsid w:val="00991FAB"/>
    <w:rPr>
      <w:b/>
      <w:bCs/>
    </w:rPr>
  </w:style>
  <w:style w:type="character" w:customStyle="1" w:styleId="a8">
    <w:name w:val="註解主旨 字元"/>
    <w:basedOn w:val="a6"/>
    <w:link w:val="a7"/>
    <w:uiPriority w:val="99"/>
    <w:semiHidden/>
    <w:rsid w:val="00991FAB"/>
    <w:rPr>
      <w:b/>
      <w:bCs/>
      <w:sz w:val="20"/>
      <w:szCs w:val="20"/>
    </w:rPr>
  </w:style>
  <w:style w:type="paragraph" w:styleId="a9">
    <w:name w:val="Balloon Text"/>
    <w:basedOn w:val="a"/>
    <w:link w:val="aa"/>
    <w:uiPriority w:val="99"/>
    <w:semiHidden/>
    <w:unhideWhenUsed/>
    <w:rsid w:val="00991FAB"/>
    <w:pPr>
      <w:spacing w:line="240" w:lineRule="auto"/>
    </w:pPr>
    <w:rPr>
      <w:rFonts w:ascii="Microsoft JhengHei UI" w:eastAsia="Microsoft JhengHei UI"/>
      <w:sz w:val="18"/>
      <w:szCs w:val="18"/>
    </w:rPr>
  </w:style>
  <w:style w:type="character" w:customStyle="1" w:styleId="aa">
    <w:name w:val="註解方塊文字 字元"/>
    <w:basedOn w:val="a0"/>
    <w:link w:val="a9"/>
    <w:uiPriority w:val="99"/>
    <w:semiHidden/>
    <w:rsid w:val="00991FAB"/>
    <w:rPr>
      <w:rFonts w:ascii="Microsoft JhengHei UI" w:eastAsia="Microsoft JhengHei UI"/>
      <w:sz w:val="18"/>
      <w:szCs w:val="18"/>
    </w:rPr>
  </w:style>
  <w:style w:type="character" w:styleId="ab">
    <w:name w:val="Hyperlink"/>
    <w:basedOn w:val="a0"/>
    <w:uiPriority w:val="99"/>
    <w:unhideWhenUsed/>
    <w:rsid w:val="00C072F9"/>
    <w:rPr>
      <w:color w:val="0563C1" w:themeColor="hyperlink"/>
      <w:u w:val="single"/>
    </w:rPr>
  </w:style>
  <w:style w:type="character" w:styleId="ac">
    <w:name w:val="Unresolved Mention"/>
    <w:basedOn w:val="a0"/>
    <w:uiPriority w:val="99"/>
    <w:semiHidden/>
    <w:unhideWhenUsed/>
    <w:rsid w:val="00C072F9"/>
    <w:rPr>
      <w:color w:val="605E5C"/>
      <w:shd w:val="clear" w:color="auto" w:fill="E1DFDD"/>
    </w:rPr>
  </w:style>
  <w:style w:type="paragraph" w:customStyle="1" w:styleId="Title1">
    <w:name w:val="Title 1"/>
    <w:basedOn w:val="a"/>
    <w:link w:val="Title10"/>
    <w:qFormat/>
    <w:rsid w:val="00AD42AC"/>
    <w:pPr>
      <w:numPr>
        <w:numId w:val="13"/>
      </w:numPr>
    </w:pPr>
  </w:style>
  <w:style w:type="paragraph" w:styleId="ad">
    <w:name w:val="Title"/>
    <w:basedOn w:val="a"/>
    <w:next w:val="a"/>
    <w:link w:val="ae"/>
    <w:uiPriority w:val="10"/>
    <w:qFormat/>
    <w:rsid w:val="00341550"/>
    <w:pPr>
      <w:ind w:firstLine="0"/>
      <w:contextualSpacing/>
    </w:pPr>
    <w:rPr>
      <w:rFonts w:eastAsiaTheme="majorEastAsia" w:cstheme="minorHAnsi"/>
      <w:spacing w:val="-10"/>
      <w:kern w:val="28"/>
      <w:szCs w:val="24"/>
    </w:rPr>
  </w:style>
  <w:style w:type="character" w:customStyle="1" w:styleId="ae">
    <w:name w:val="標題 字元"/>
    <w:basedOn w:val="a0"/>
    <w:link w:val="ad"/>
    <w:uiPriority w:val="10"/>
    <w:rsid w:val="00341550"/>
    <w:rPr>
      <w:rFonts w:eastAsiaTheme="majorEastAsia" w:cstheme="minorHAnsi"/>
      <w:spacing w:val="-10"/>
      <w:kern w:val="28"/>
      <w:sz w:val="24"/>
      <w:szCs w:val="24"/>
    </w:rPr>
  </w:style>
  <w:style w:type="character" w:customStyle="1" w:styleId="Title10">
    <w:name w:val="Title 1 字元"/>
    <w:basedOn w:val="ae"/>
    <w:link w:val="Title1"/>
    <w:rsid w:val="00AD42AC"/>
    <w:rPr>
      <w:rFonts w:asciiTheme="majorHAnsi" w:eastAsiaTheme="majorEastAsia" w:hAnsiTheme="majorHAnsi" w:cstheme="majorBidi"/>
      <w:spacing w:val="-10"/>
      <w:kern w:val="28"/>
      <w:sz w:val="24"/>
      <w:szCs w:val="56"/>
    </w:rPr>
  </w:style>
  <w:style w:type="character" w:styleId="af">
    <w:name w:val="line number"/>
    <w:basedOn w:val="a0"/>
    <w:uiPriority w:val="99"/>
    <w:semiHidden/>
    <w:unhideWhenUsed/>
    <w:rsid w:val="00934839"/>
  </w:style>
  <w:style w:type="paragraph" w:customStyle="1" w:styleId="Title2">
    <w:name w:val="Title 2"/>
    <w:basedOn w:val="a"/>
    <w:link w:val="Title20"/>
    <w:qFormat/>
    <w:rsid w:val="004E22B6"/>
    <w:pPr>
      <w:numPr>
        <w:ilvl w:val="1"/>
        <w:numId w:val="13"/>
      </w:numPr>
    </w:pPr>
  </w:style>
  <w:style w:type="paragraph" w:styleId="af0">
    <w:name w:val="Bibliography"/>
    <w:basedOn w:val="a"/>
    <w:next w:val="a"/>
    <w:uiPriority w:val="37"/>
    <w:unhideWhenUsed/>
    <w:rsid w:val="005B0207"/>
    <w:pPr>
      <w:spacing w:line="240" w:lineRule="auto"/>
      <w:ind w:left="720" w:hanging="720"/>
    </w:pPr>
  </w:style>
  <w:style w:type="character" w:customStyle="1" w:styleId="Title20">
    <w:name w:val="Title 2 字元"/>
    <w:basedOn w:val="a0"/>
    <w:link w:val="Title2"/>
    <w:rsid w:val="004E22B6"/>
    <w:rPr>
      <w:sz w:val="24"/>
    </w:rPr>
  </w:style>
  <w:style w:type="paragraph" w:styleId="af1">
    <w:name w:val="header"/>
    <w:basedOn w:val="a"/>
    <w:link w:val="af2"/>
    <w:uiPriority w:val="99"/>
    <w:unhideWhenUsed/>
    <w:rsid w:val="00BC5A6A"/>
    <w:pPr>
      <w:tabs>
        <w:tab w:val="center" w:pos="4320"/>
        <w:tab w:val="right" w:pos="8640"/>
      </w:tabs>
      <w:spacing w:line="240" w:lineRule="auto"/>
    </w:pPr>
  </w:style>
  <w:style w:type="character" w:customStyle="1" w:styleId="af2">
    <w:name w:val="頁首 字元"/>
    <w:basedOn w:val="a0"/>
    <w:link w:val="af1"/>
    <w:uiPriority w:val="99"/>
    <w:rsid w:val="00BC5A6A"/>
    <w:rPr>
      <w:sz w:val="24"/>
    </w:rPr>
  </w:style>
  <w:style w:type="paragraph" w:styleId="af3">
    <w:name w:val="footer"/>
    <w:basedOn w:val="a"/>
    <w:link w:val="af4"/>
    <w:uiPriority w:val="99"/>
    <w:unhideWhenUsed/>
    <w:rsid w:val="00BC5A6A"/>
    <w:pPr>
      <w:tabs>
        <w:tab w:val="center" w:pos="4320"/>
        <w:tab w:val="right" w:pos="8640"/>
      </w:tabs>
      <w:spacing w:line="240" w:lineRule="auto"/>
    </w:pPr>
  </w:style>
  <w:style w:type="character" w:customStyle="1" w:styleId="af4">
    <w:name w:val="頁尾 字元"/>
    <w:basedOn w:val="a0"/>
    <w:link w:val="af3"/>
    <w:uiPriority w:val="99"/>
    <w:rsid w:val="00BC5A6A"/>
    <w:rPr>
      <w:sz w:val="24"/>
    </w:rPr>
  </w:style>
  <w:style w:type="character" w:styleId="af5">
    <w:name w:val="Placeholder Text"/>
    <w:basedOn w:val="a0"/>
    <w:uiPriority w:val="99"/>
    <w:semiHidden/>
    <w:rsid w:val="00D22A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lwei@ntu.edu.tw"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B1205-31E9-47C9-AE4F-12A7396D4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3488</TotalTime>
  <Pages>20</Pages>
  <Words>17960</Words>
  <Characters>102378</Characters>
  <Application>Microsoft Office Word</Application>
  <DocSecurity>0</DocSecurity>
  <Lines>853</Lines>
  <Paragraphs>240</Paragraphs>
  <ScaleCrop>false</ScaleCrop>
  <Company/>
  <LinksUpToDate>false</LinksUpToDate>
  <CharactersWithSpaces>120098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Yen-Ting</dc:creator>
  <cp:keywords/>
  <dc:description/>
  <cp:lastModifiedBy>Chen, Yen-Ting</cp:lastModifiedBy>
  <cp:revision>310</cp:revision>
  <dcterms:created xsi:type="dcterms:W3CDTF">2023-09-01T17:45:00Z</dcterms:created>
  <dcterms:modified xsi:type="dcterms:W3CDTF">2023-09-14T21:13:00Z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id="1Li87OQZ"/&gt;&lt;style id="http://www.zotero.org/styles/estuarine-coastal-and-shelf-science" hasBibliography="1" bibliographyStyleHasBeenSet="1"/&gt;&lt;prefs&gt;&lt;pref name="fieldType" value="Field"/&gt;&lt;/prefs&gt;&lt;</vt:lpwstr>
  </property>
  <property fmtid="{D5CDD505-2E9C-101B-9397-08002B2CF9AE}" pid="3" name="ZOTERO_PREF_2">
    <vt:lpwstr>/data&gt;</vt:lpwstr>
  </property>
</Properties>
</file>