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0"/>
        </w:rPr>
        <w:t>个人专属交易规则与买卖决策系统 (Trading Alpha Desk)</w:t>
        <w:br/>
        <w:t>产品需求文档 (PRD)</w:t>
      </w:r>
    </w:p>
    <w:p>
      <w:pPr>
        <w:jc w:val="center"/>
      </w:pPr>
      <w:r>
        <w:rPr>
          <w:color w:val="787878"/>
          <w:sz w:val="20"/>
        </w:rPr>
        <w:t>文档版本：v1.0.0  |  核心模块：选股规则引擎 / 决策计算器 / 风控看板  |  目标平台：Web 端工作台 + 移动端微信/钉钉推送</w:t>
      </w:r>
    </w:p>
    <w:p>
      <w:r>
        <w:t>───────────────────────────────────────────────────────</w:t>
      </w:r>
    </w:p>
    <w:p>
      <w:pPr>
        <w:pStyle w:val="Heading1"/>
      </w:pPr>
      <w:r>
        <w:t>一、 项目背景与产品愿景</w:t>
      </w:r>
    </w:p>
    <w:p>
      <w:r>
        <w:t>多数个人交易者在实盘中常面临三大核心痛点：信息噪音大选股耗时、临盘决策受情绪干扰追涨杀跌、以及缺乏刚性买卖点量化与仓位纪律。</w:t>
        <w:br/>
        <w:t>本系统旨在将交易者的个人交易哲学与模式提炼为高确定性规则引擎，每日盘中/盘后自动对全市场标的进行筛选，并精确计算出每个候选标的的挂单买入区间、硬性止损价、分批止盈目标价与建议仓位股数，让交易彻底告别主观臆断，实现“知行合一”。</w:t>
        <w:br/>
        <w:br/>
        <w:t>【核心定位】：不是黑盒 AI 炒股软件，而是个人交易纪律与交易模式的量化执行器。只展示 100% 严格符合个人规则的标的，并给出数字精确的买卖与风控执行参数。</w:t>
      </w:r>
    </w:p>
    <w:p>
      <w:pPr>
        <w:pStyle w:val="Heading1"/>
      </w:pPr>
      <w:r>
        <w:t>二、 系统总体架构与数据流</w:t>
      </w:r>
    </w:p>
    <w:p>
      <w:r>
        <w:t>1. 全市场数据采集与接入层 (Market Data Layer)</w:t>
        <w:br/>
        <w:t xml:space="preserve">   - A股实时分时 / Level-1 行情</w:t>
        <w:br/>
        <w:t xml:space="preserve">   - 历史日线 K线数据 (OHLCV)</w:t>
        <w:br/>
        <w:t xml:space="preserve">   - 基础面指标 (市值/流通盘/PE/行业板块)</w:t>
        <w:br/>
        <w:t xml:space="preserve">                     ↓</w:t>
        <w:br/>
        <w:t>2. 规则量化过滤引擎 (Rule Filter Engine)</w:t>
        <w:br/>
        <w:t xml:space="preserve">   - [硬性排雷池]: 剔除 ST / 退市整理、市值过滤 (50~300亿)、日成交额 &gt; 3.5 亿元</w:t>
        <w:br/>
        <w:t xml:space="preserve">   - [形态/量价指标池]: 均线多头 (MA5/10/20)、放量突破近期平台、缩量回踩关键均线支撑</w:t>
        <w:br/>
        <w:t xml:space="preserve">   - [分时/尾盘特征池]: 尾盘涨幅 (3% ~ 6.5%)、日内承接强 (分时均线之上)、换手率区间 (5% ~ 18%)</w:t>
        <w:br/>
        <w:t xml:space="preserve">                     ↓ (输出: 模式内候选标的池)</w:t>
        <w:br/>
        <w:t>3. 买卖点与风控参数计算器 (Trade Price Calculator)</w:t>
        <w:br/>
        <w:t xml:space="preserve">   - 建议买入价/区间 (P_in)</w:t>
        <w:br/>
        <w:t xml:space="preserve">   - 刚性止损价 (P_stop)</w:t>
        <w:br/>
        <w:t xml:space="preserve">   - 目标止盈价 (P_target1 / P_target2)</w:t>
        <w:br/>
        <w:t xml:space="preserve">   - 盈亏比自动核算 (R:R)</w:t>
        <w:br/>
        <w:t xml:space="preserve">   - 单笔风险倒算仓位股数 (Position Sizing)</w:t>
        <w:br/>
        <w:t xml:space="preserve">                     ↓</w:t>
        <w:br/>
        <w:t>4. 交互看板与预警推送层 (Execution &amp; Presentation)</w:t>
        <w:br/>
        <w:t xml:space="preserve">   - Web 决策工作台 (高响应看板)</w:t>
        <w:br/>
        <w:t xml:space="preserve">   - 实时订单管理 / 复盘诊断</w:t>
        <w:br/>
        <w:t xml:space="preserve">   - 钉钉 / 企业微信机器人即时卡片推送 (盘中 / 尾盘)</w:t>
      </w:r>
    </w:p>
    <w:p>
      <w:pPr>
        <w:pStyle w:val="Heading1"/>
      </w:pPr>
      <w:r>
        <w:t>三、 核心功能模块详细需求</w:t>
      </w:r>
    </w:p>
    <w:p>
      <w:pPr>
        <w:pStyle w:val="Heading2"/>
      </w:pPr>
      <w:r>
        <w:t>1. 规则配置模块 (Rule Configurator)</w:t>
      </w:r>
    </w:p>
    <w:p>
      <w:r>
        <w:t>允许用户自由开启、组合、调优自身专属的策略选股条件，支持按“硬性排除条件”、“形态量价条件”、“日内盘面条件”三层过滤：</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规则分类</w:t>
            </w:r>
          </w:p>
        </w:tc>
        <w:tc>
          <w:tcPr>
            <w:tcW w:type="dxa" w:w="2484"/>
          </w:tcPr>
          <w:p>
            <w:r>
              <w:rPr>
                <w:b/>
              </w:rPr>
              <w:t>规则名称</w:t>
            </w:r>
          </w:p>
        </w:tc>
        <w:tc>
          <w:tcPr>
            <w:tcW w:type="dxa" w:w="2484"/>
          </w:tcPr>
          <w:p>
            <w:r>
              <w:rPr>
                <w:b/>
              </w:rPr>
              <w:t>量化逻辑 / 判定公式</w:t>
            </w:r>
          </w:p>
        </w:tc>
        <w:tc>
          <w:tcPr>
            <w:tcW w:type="dxa" w:w="2484"/>
          </w:tcPr>
          <w:p>
            <w:r>
              <w:rPr>
                <w:b/>
              </w:rPr>
              <w:t>默认状态</w:t>
            </w:r>
          </w:p>
        </w:tc>
      </w:tr>
      <w:tr>
        <w:tc>
          <w:tcPr>
            <w:tcW w:type="dxa" w:w="2484"/>
          </w:tcPr>
          <w:p>
            <w:r>
              <w:t>硬性排雷</w:t>
            </w:r>
          </w:p>
        </w:tc>
        <w:tc>
          <w:tcPr>
            <w:tcW w:type="dxa" w:w="2484"/>
          </w:tcPr>
          <w:p>
            <w:r>
              <w:t>非ST &amp; 市值成交额</w:t>
            </w:r>
          </w:p>
        </w:tc>
        <w:tc>
          <w:tcPr>
            <w:tcW w:type="dxa" w:w="2484"/>
          </w:tcPr>
          <w:p>
            <w:r>
              <w:t>ST == false 且 50亿 ≤ 流通市值 ≤ 400亿 且 日成交额 ≥ 3.5亿</w:t>
            </w:r>
          </w:p>
        </w:tc>
        <w:tc>
          <w:tcPr>
            <w:tcW w:type="dxa" w:w="2484"/>
          </w:tcPr>
          <w:p>
            <w:r>
              <w:t>强制开启</w:t>
            </w:r>
          </w:p>
        </w:tc>
      </w:tr>
      <w:tr>
        <w:tc>
          <w:tcPr>
            <w:tcW w:type="dxa" w:w="2484"/>
          </w:tcPr>
          <w:p>
            <w:r>
              <w:t>板块风格</w:t>
            </w:r>
          </w:p>
        </w:tc>
        <w:tc>
          <w:tcPr>
            <w:tcW w:type="dxa" w:w="2484"/>
          </w:tcPr>
          <w:p>
            <w:r>
              <w:t>主板/双创标的</w:t>
            </w:r>
          </w:p>
        </w:tc>
        <w:tc>
          <w:tcPr>
            <w:tcW w:type="dxa" w:w="2484"/>
          </w:tcPr>
          <w:p>
            <w:r>
              <w:t>支持勾选主板（60/00开头）、创业板（30开头）、科创板（68开头）</w:t>
            </w:r>
          </w:p>
        </w:tc>
        <w:tc>
          <w:tcPr>
            <w:tcW w:type="dxa" w:w="2484"/>
          </w:tcPr>
          <w:p>
            <w:r>
              <w:t>可配置</w:t>
            </w:r>
          </w:p>
        </w:tc>
      </w:tr>
      <w:tr>
        <w:tc>
          <w:tcPr>
            <w:tcW w:type="dxa" w:w="2484"/>
          </w:tcPr>
          <w:p>
            <w:r>
              <w:t>趋势形态</w:t>
            </w:r>
          </w:p>
        </w:tc>
        <w:tc>
          <w:tcPr>
            <w:tcW w:type="dxa" w:w="2484"/>
          </w:tcPr>
          <w:p>
            <w:r>
              <w:t>均线多头排列</w:t>
            </w:r>
          </w:p>
        </w:tc>
        <w:tc>
          <w:tcPr>
            <w:tcW w:type="dxa" w:w="2484"/>
          </w:tcPr>
          <w:p>
            <w:r>
              <w:t>MA(5) &gt; MA(10) &gt; MA(20) 且 现价在 MA(20) 之上</w:t>
            </w:r>
          </w:p>
        </w:tc>
        <w:tc>
          <w:tcPr>
            <w:tcW w:type="dxa" w:w="2484"/>
          </w:tcPr>
          <w:p>
            <w:r>
              <w:t>常用策略</w:t>
            </w:r>
          </w:p>
        </w:tc>
      </w:tr>
      <w:tr>
        <w:tc>
          <w:tcPr>
            <w:tcW w:type="dxa" w:w="2484"/>
          </w:tcPr>
          <w:p>
            <w:r>
              <w:t>量能结构</w:t>
            </w:r>
          </w:p>
        </w:tc>
        <w:tc>
          <w:tcPr>
            <w:tcW w:type="dxa" w:w="2484"/>
          </w:tcPr>
          <w:p>
            <w:r>
              <w:t>放量突破 / 缩量回踩</w:t>
            </w:r>
          </w:p>
        </w:tc>
        <w:tc>
          <w:tcPr>
            <w:tcW w:type="dxa" w:w="2484"/>
          </w:tcPr>
          <w:p>
            <w:r>
              <w:t>今日成交量 ≥ 过去5日均量 1.8倍；或连续 2 日缩量回踩 MA5 不破</w:t>
            </w:r>
          </w:p>
        </w:tc>
        <w:tc>
          <w:tcPr>
            <w:tcW w:type="dxa" w:w="2484"/>
          </w:tcPr>
          <w:p>
            <w:r>
              <w:t>常用策略</w:t>
            </w:r>
          </w:p>
        </w:tc>
      </w:tr>
      <w:tr>
        <w:tc>
          <w:tcPr>
            <w:tcW w:type="dxa" w:w="2484"/>
          </w:tcPr>
          <w:p>
            <w:r>
              <w:t>尾盘特征</w:t>
            </w:r>
          </w:p>
        </w:tc>
        <w:tc>
          <w:tcPr>
            <w:tcW w:type="dxa" w:w="2484"/>
          </w:tcPr>
          <w:p>
            <w:r>
              <w:t>尾盘稳健确认</w:t>
            </w:r>
          </w:p>
        </w:tc>
        <w:tc>
          <w:tcPr>
            <w:tcW w:type="dxa" w:w="2484"/>
          </w:tcPr>
          <w:p>
            <w:r>
              <w:t>14:35~14:55 涨幅在 [+3.0%, +6.5%]，分时始终运行在均价线上方</w:t>
            </w:r>
          </w:p>
        </w:tc>
        <w:tc>
          <w:tcPr>
            <w:tcW w:type="dxa" w:w="2484"/>
          </w:tcPr>
          <w:p>
            <w:r>
              <w:t>尾盘模式</w:t>
            </w:r>
          </w:p>
        </w:tc>
      </w:tr>
    </w:tbl>
    <w:p>
      <w:pPr>
        <w:pStyle w:val="Heading2"/>
      </w:pPr>
      <w:r>
        <w:t>2. 买卖价格与仓位计算引擎 (Execution Engine)</w:t>
      </w:r>
    </w:p>
    <w:p>
      <w:r>
        <w:t>当标的满足选股规则后，系统严禁给出模糊建议，必须精确计算出以下 5 个核心参数：</w:t>
        <w:br/>
        <w:t>• 建议买入区间 (P_in):</w:t>
        <w:br/>
        <w:t xml:space="preserve">  - 尾盘模式：以当前撮合价为基准，上浮/下浮 0.5% 内挂单。</w:t>
        <w:br/>
        <w:t xml:space="preserve">  - 回踩突破模式：以关键支撑均线或突破平台前高价为买入参考价。</w:t>
        <w:br/>
        <w:t>• 硬性风控止损价 (P_stop):</w:t>
        <w:br/>
        <w:t xml:space="preserve">  - 固定比例止损：P_stop = P_in × (1 - 3.5%)。</w:t>
        <w:br/>
        <w:t xml:space="preserve">  - 技术位止损：取前一日最低价、或跌破 5日均线（MA5 × 0.99）。</w:t>
        <w:br/>
        <w:t>• 分批止盈目标价 (P_target1, P_target2):</w:t>
        <w:br/>
        <w:t xml:space="preserve">  - 第一目标价 (T1)：达到 +4.5% ~ +6.0% 时，建议减仓 50%，并将剩余持仓止损线上移至买入成本线。</w:t>
        <w:br/>
        <w:t xml:space="preserve">  - 第二目标价 (T2)：达到 +9.0% ~ +12.0% 或出现高位放量滞涨时全部清仓。</w:t>
        <w:br/>
        <w:t>• 单笔风险仓位倒算 (Position Sizing):</w:t>
        <w:br/>
        <w:t xml:space="preserve">  - 根据专业机构风控准则，单笔交易的最大潜在亏损不得超过总账户资金的 R（默认 1.0%）。</w:t>
        <w:br/>
        <w:t xml:space="preserve">  - 建议买入股数 (Shares) = ( 账户总资产 × 1% ) ÷ ( P_in − P_stop )</w:t>
        <w:br/>
        <w:t>• 盈亏比过滤准则：系统自动计算预期盈亏比 R:R = (P_target1 - P_in) / (P_in - P_stop)。若 R:R &lt; 2.0，系统将自动标记黄色警告或剔除，杜绝“冒 5% 风险去赚 2%”的劣质交易。</w:t>
      </w:r>
    </w:p>
    <w:p>
      <w:pPr>
        <w:pStyle w:val="Heading2"/>
      </w:pPr>
      <w:r>
        <w:t>3. 决策工作台与监控看板 (UI &amp; UX)</w:t>
      </w:r>
    </w:p>
    <w:p>
      <w:r>
        <w:t>看板为交易员提供一目了然的操作指令列表：</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rPr>
              <w:t>代码 / 股票名称</w:t>
            </w:r>
          </w:p>
        </w:tc>
        <w:tc>
          <w:tcPr>
            <w:tcW w:type="dxa" w:w="1242"/>
          </w:tcPr>
          <w:p>
            <w:r>
              <w:rPr>
                <w:b/>
              </w:rPr>
              <w:t>触发规则</w:t>
            </w:r>
          </w:p>
        </w:tc>
        <w:tc>
          <w:tcPr>
            <w:tcW w:type="dxa" w:w="1242"/>
          </w:tcPr>
          <w:p>
            <w:r>
              <w:rPr>
                <w:b/>
              </w:rPr>
              <w:t>现价</w:t>
            </w:r>
          </w:p>
        </w:tc>
        <w:tc>
          <w:tcPr>
            <w:tcW w:type="dxa" w:w="1242"/>
          </w:tcPr>
          <w:p>
            <w:r>
              <w:rPr>
                <w:b/>
              </w:rPr>
              <w:t>建议买入区间</w:t>
            </w:r>
          </w:p>
        </w:tc>
        <w:tc>
          <w:tcPr>
            <w:tcW w:type="dxa" w:w="1242"/>
          </w:tcPr>
          <w:p>
            <w:r>
              <w:rPr>
                <w:b/>
              </w:rPr>
              <w:t>止损价 (跌幅)</w:t>
            </w:r>
          </w:p>
        </w:tc>
        <w:tc>
          <w:tcPr>
            <w:tcW w:type="dxa" w:w="1242"/>
          </w:tcPr>
          <w:p>
            <w:r>
              <w:rPr>
                <w:b/>
              </w:rPr>
              <w:t>第一目标价</w:t>
            </w:r>
          </w:p>
        </w:tc>
        <w:tc>
          <w:tcPr>
            <w:tcW w:type="dxa" w:w="1242"/>
          </w:tcPr>
          <w:p>
            <w:r>
              <w:rPr>
                <w:b/>
              </w:rPr>
              <w:t>盈亏比</w:t>
            </w:r>
          </w:p>
        </w:tc>
        <w:tc>
          <w:tcPr>
            <w:tcW w:type="dxa" w:w="1242"/>
          </w:tcPr>
          <w:p>
            <w:r>
              <w:rPr>
                <w:b/>
              </w:rPr>
              <w:t>建议买入股数 &amp; 状态</w:t>
            </w:r>
          </w:p>
        </w:tc>
      </w:tr>
      <w:tr>
        <w:tc>
          <w:tcPr>
            <w:tcW w:type="dxa" w:w="1242"/>
          </w:tcPr>
          <w:p>
            <w:r>
              <w:t>603xxx 科技先锋</w:t>
            </w:r>
          </w:p>
        </w:tc>
        <w:tc>
          <w:tcPr>
            <w:tcW w:type="dxa" w:w="1242"/>
          </w:tcPr>
          <w:p>
            <w:r>
              <w:t>放量突破 + 尾盘放量</w:t>
            </w:r>
          </w:p>
        </w:tc>
        <w:tc>
          <w:tcPr>
            <w:tcW w:type="dxa" w:w="1242"/>
          </w:tcPr>
          <w:p>
            <w:r>
              <w:t>¥ 24.50</w:t>
            </w:r>
          </w:p>
        </w:tc>
        <w:tc>
          <w:tcPr>
            <w:tcW w:type="dxa" w:w="1242"/>
          </w:tcPr>
          <w:p>
            <w:r>
              <w:t>¥ 24.35 ~ 24.55</w:t>
            </w:r>
          </w:p>
        </w:tc>
        <w:tc>
          <w:tcPr>
            <w:tcW w:type="dxa" w:w="1242"/>
          </w:tcPr>
          <w:p>
            <w:r>
              <w:t>¥ 23.65 (-3.5%)</w:t>
            </w:r>
          </w:p>
        </w:tc>
        <w:tc>
          <w:tcPr>
            <w:tcW w:type="dxa" w:w="1242"/>
          </w:tcPr>
          <w:p>
            <w:r>
              <w:t>¥ 26.50 (+8.2%)</w:t>
            </w:r>
          </w:p>
        </w:tc>
        <w:tc>
          <w:tcPr>
            <w:tcW w:type="dxa" w:w="1242"/>
          </w:tcPr>
          <w:p>
            <w:r>
              <w:t>2.34 : 1</w:t>
            </w:r>
          </w:p>
        </w:tc>
        <w:tc>
          <w:tcPr>
            <w:tcW w:type="dxa" w:w="1242"/>
          </w:tcPr>
          <w:p>
            <w:r>
              <w:t>2,400 股 (约 5.8万) [待执行]</w:t>
            </w:r>
          </w:p>
        </w:tc>
      </w:tr>
      <w:tr>
        <w:tc>
          <w:tcPr>
            <w:tcW w:type="dxa" w:w="1242"/>
          </w:tcPr>
          <w:p>
            <w:r>
              <w:t>002xxx 先进制造</w:t>
            </w:r>
          </w:p>
        </w:tc>
        <w:tc>
          <w:tcPr>
            <w:tcW w:type="dxa" w:w="1242"/>
          </w:tcPr>
          <w:p>
            <w:r>
              <w:t>MA20 回踩企稳</w:t>
            </w:r>
          </w:p>
        </w:tc>
        <w:tc>
          <w:tcPr>
            <w:tcW w:type="dxa" w:w="1242"/>
          </w:tcPr>
          <w:p>
            <w:r>
              <w:t>¥ 15.20</w:t>
            </w:r>
          </w:p>
        </w:tc>
        <w:tc>
          <w:tcPr>
            <w:tcW w:type="dxa" w:w="1242"/>
          </w:tcPr>
          <w:p>
            <w:r>
              <w:t>¥ 15.10 ~ 15.25</w:t>
            </w:r>
          </w:p>
        </w:tc>
        <w:tc>
          <w:tcPr>
            <w:tcW w:type="dxa" w:w="1242"/>
          </w:tcPr>
          <w:p>
            <w:r>
              <w:t>¥ 14.65 (-3.6%)</w:t>
            </w:r>
          </w:p>
        </w:tc>
        <w:tc>
          <w:tcPr>
            <w:tcW w:type="dxa" w:w="1242"/>
          </w:tcPr>
          <w:p>
            <w:r>
              <w:t>¥ 16.60 (+9.2%)</w:t>
            </w:r>
          </w:p>
        </w:tc>
        <w:tc>
          <w:tcPr>
            <w:tcW w:type="dxa" w:w="1242"/>
          </w:tcPr>
          <w:p>
            <w:r>
              <w:t>2.55 : 1</w:t>
            </w:r>
          </w:p>
        </w:tc>
        <w:tc>
          <w:tcPr>
            <w:tcW w:type="dxa" w:w="1242"/>
          </w:tcPr>
          <w:p>
            <w:r>
              <w:t>3,600 股 (约 5.5万) [待执行]</w:t>
            </w:r>
          </w:p>
        </w:tc>
      </w:tr>
      <w:tr>
        <w:tc>
          <w:tcPr>
            <w:tcW w:type="dxa" w:w="1242"/>
          </w:tcPr>
          <w:p>
            <w:r>
              <w:t>300xxx 智能芯片</w:t>
            </w:r>
          </w:p>
        </w:tc>
        <w:tc>
          <w:tcPr>
            <w:tcW w:type="dxa" w:w="1242"/>
          </w:tcPr>
          <w:p>
            <w:r>
              <w:t>高位脉冲 (盈亏比偏低)</w:t>
            </w:r>
          </w:p>
        </w:tc>
        <w:tc>
          <w:tcPr>
            <w:tcW w:type="dxa" w:w="1242"/>
          </w:tcPr>
          <w:p>
            <w:r>
              <w:t>¥ 48.00</w:t>
            </w:r>
          </w:p>
        </w:tc>
        <w:tc>
          <w:tcPr>
            <w:tcW w:type="dxa" w:w="1242"/>
          </w:tcPr>
          <w:p>
            <w:r>
              <w:t>¥ 47.80 ~ 48.20</w:t>
            </w:r>
          </w:p>
        </w:tc>
        <w:tc>
          <w:tcPr>
            <w:tcW w:type="dxa" w:w="1242"/>
          </w:tcPr>
          <w:p>
            <w:r>
              <w:t>¥ 45.80 (-4.6%)</w:t>
            </w:r>
          </w:p>
        </w:tc>
        <w:tc>
          <w:tcPr>
            <w:tcW w:type="dxa" w:w="1242"/>
          </w:tcPr>
          <w:p>
            <w:r>
              <w:t>¥ 50.50 (+5.2%)</w:t>
            </w:r>
          </w:p>
        </w:tc>
        <w:tc>
          <w:tcPr>
            <w:tcW w:type="dxa" w:w="1242"/>
          </w:tcPr>
          <w:p>
            <w:r>
              <w:t>1.13 : 1</w:t>
            </w:r>
          </w:p>
        </w:tc>
        <w:tc>
          <w:tcPr>
            <w:tcW w:type="dxa" w:w="1242"/>
          </w:tcPr>
          <w:p>
            <w:r>
              <w:t>1,000 股 [盈亏比不足拦截]</w:t>
            </w:r>
          </w:p>
        </w:tc>
      </w:tr>
    </w:tbl>
    <w:p>
      <w:pPr>
        <w:pStyle w:val="Heading2"/>
      </w:pPr>
      <w:r>
        <w:t>4. 盘中/尾盘预警与推送模块 (Alerts)</w:t>
      </w:r>
    </w:p>
    <w:p>
      <w:r>
        <w:t>• 盘中异动提醒：当自选池标的首次触碰预设买入支撑位或放量突破时，通过 Webhook 推送钉钉/企业微信。</w:t>
        <w:br/>
        <w:t>• 尾盘 14:45 决战简报：自动汇总当日最终符合所有过滤条件的 Top 3~5 确定性最高标的，生成结构化卡片发送至手机。</w:t>
        <w:br/>
        <w:t>• 持仓止损/止盈预警：对已买入持仓进行逐笔跟踪，触及止损线时强警示提醒离场。</w:t>
      </w:r>
    </w:p>
    <w:p>
      <w:pPr>
        <w:pStyle w:val="Heading1"/>
      </w:pPr>
      <w:r>
        <w:t>四、 技术架构与落地选型推荐</w:t>
      </w:r>
    </w:p>
    <w:tbl>
      <w:tblPr>
        <w:tblW w:type="auto" w:w="0"/>
        <w:jc w:val="center"/>
        <w:tblLook w:firstColumn="1" w:firstRow="1" w:lastColumn="0" w:lastRow="0" w:noHBand="0" w:noVBand="1" w:val="04A0"/>
      </w:tblPr>
      <w:tblGrid>
        <w:gridCol w:w="3312"/>
        <w:gridCol w:w="3312"/>
        <w:gridCol w:w="3312"/>
      </w:tblGrid>
      <w:tr>
        <w:tc>
          <w:tcPr>
            <w:tcW w:type="dxa" w:w="3312"/>
          </w:tcPr>
          <w:p>
            <w:r>
              <w:rPr>
                <w:b/>
              </w:rPr>
              <w:t>架构层次</w:t>
            </w:r>
          </w:p>
        </w:tc>
        <w:tc>
          <w:tcPr>
            <w:tcW w:type="dxa" w:w="3312"/>
          </w:tcPr>
          <w:p>
            <w:r>
              <w:rPr>
                <w:b/>
              </w:rPr>
              <w:t>推荐技术选型</w:t>
            </w:r>
          </w:p>
        </w:tc>
        <w:tc>
          <w:tcPr>
            <w:tcW w:type="dxa" w:w="3312"/>
          </w:tcPr>
          <w:p>
            <w:r>
              <w:rPr>
                <w:b/>
              </w:rPr>
              <w:t>核心职责与优势</w:t>
            </w:r>
          </w:p>
        </w:tc>
      </w:tr>
      <w:tr>
        <w:tc>
          <w:tcPr>
            <w:tcW w:type="dxa" w:w="3312"/>
          </w:tcPr>
          <w:p>
            <w:r>
              <w:t>数据抓取与计算</w:t>
            </w:r>
          </w:p>
        </w:tc>
        <w:tc>
          <w:tcPr>
            <w:tcW w:type="dxa" w:w="3312"/>
          </w:tcPr>
          <w:p>
            <w:r>
              <w:t>Python (Pandas / AkShare / Tushare)</w:t>
            </w:r>
          </w:p>
        </w:tc>
        <w:tc>
          <w:tcPr>
            <w:tcW w:type="dxa" w:w="3312"/>
          </w:tcPr>
          <w:p>
            <w:r>
              <w:t>开箱即用的 A股全市场日线、分钟线及基础指标，轻量高效。</w:t>
            </w:r>
          </w:p>
        </w:tc>
      </w:tr>
      <w:tr>
        <w:tc>
          <w:tcPr>
            <w:tcW w:type="dxa" w:w="3312"/>
          </w:tcPr>
          <w:p>
            <w:r>
              <w:t>后端服务 &amp; 规则引擎</w:t>
            </w:r>
          </w:p>
        </w:tc>
        <w:tc>
          <w:tcPr>
            <w:tcW w:type="dxa" w:w="3312"/>
          </w:tcPr>
          <w:p>
            <w:r>
              <w:t>Spring Boot / FastAPI + Redis</w:t>
            </w:r>
          </w:p>
        </w:tc>
        <w:tc>
          <w:tcPr>
            <w:tcW w:type="dxa" w:w="3312"/>
          </w:tcPr>
          <w:p>
            <w:r>
              <w:t>定时任务调度 (Cron)、多规则链式过滤、缓存计算结果与推送管理。</w:t>
            </w:r>
          </w:p>
        </w:tc>
      </w:tr>
      <w:tr>
        <w:tc>
          <w:tcPr>
            <w:tcW w:type="dxa" w:w="3312"/>
          </w:tcPr>
          <w:p>
            <w:r>
              <w:t>前端看板</w:t>
            </w:r>
          </w:p>
        </w:tc>
        <w:tc>
          <w:tcPr>
            <w:tcW w:type="dxa" w:w="3312"/>
          </w:tcPr>
          <w:p>
            <w:r>
              <w:t>Vue 3 + TailwindCSS + ECharts</w:t>
            </w:r>
          </w:p>
        </w:tc>
        <w:tc>
          <w:tcPr>
            <w:tcW w:type="dxa" w:w="3312"/>
          </w:tcPr>
          <w:p>
            <w:r>
              <w:t>高响应性数据看板，支持动态规则拖拽配置、K线买卖点标注。</w:t>
            </w:r>
          </w:p>
        </w:tc>
      </w:tr>
      <w:tr>
        <w:tc>
          <w:tcPr>
            <w:tcW w:type="dxa" w:w="3312"/>
          </w:tcPr>
          <w:p>
            <w:r>
              <w:t>预警与通知</w:t>
            </w:r>
          </w:p>
        </w:tc>
        <w:tc>
          <w:tcPr>
            <w:tcW w:type="dxa" w:w="3312"/>
          </w:tcPr>
          <w:p>
            <w:r>
              <w:t>企业微信 / 钉钉 Webhook 机器人</w:t>
            </w:r>
          </w:p>
        </w:tc>
        <w:tc>
          <w:tcPr>
            <w:tcW w:type="dxa" w:w="3312"/>
          </w:tcPr>
          <w:p>
            <w:r>
              <w:t>零开发成本实现移动端即时卡片通知与买卖点指令下发。</w:t>
            </w:r>
          </w:p>
        </w:tc>
      </w:tr>
    </w:tbl>
    <w:p>
      <w:pPr>
        <w:pStyle w:val="Heading1"/>
      </w:pPr>
      <w:r>
        <w:t>五、 实施路线图与里程碑</w:t>
      </w:r>
    </w:p>
    <w:p>
      <w:r>
        <w:t>1. Phase 1（规则固化与数据管道，1~2周）：搭建数据拉取脚本，实现静态规则筛选（ST、市值、均线、涨跌幅）。</w:t>
        <w:br/>
        <w:t>2. Phase 2（买卖点与仓位算法集成，1周）：实现买入区间、止损价、止盈价及盈亏比自动计算逻辑，支持控制台/API输出。</w:t>
        <w:br/>
        <w:t>3. Phase 3（看板开发与机器人推送，1~2周）：构建 Web 工作台界面，配置尾盘 14:45 自动化企业微信/钉钉推送。</w:t>
        <w:br/>
        <w:t>4. Phase 4（历史回测与策略调优，持续）：导入近 1~3 年历史数据验证各规则组合的胜率、盈亏比与最大回撤。</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