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2000"/>
        <w:jc w:val="center"/>
      </w:pPr>
      <w:r>
        <w:rPr>
          <w:rFonts w:ascii="Arial" w:cs="Arial" w:eastAsia="Arial" w:hAnsi="Arial"/>
          <w:b/>
          <w:bCs/>
          <w:color w:val="1A3C5E"/>
          <w:sz w:val="72"/>
          <w:szCs w:val="72"/>
        </w:rPr>
        <w:t xml:space="preserve">量化交易系统</w:t>
      </w:r>
    </w:p>
    <w:p>
      <w:pPr>
        <w:spacing w:after="200" w:before="0"/>
        <w:jc w:val="center"/>
      </w:pPr>
      <w:r>
        <w:rPr>
          <w:rFonts w:ascii="Arial" w:cs="Arial" w:eastAsia="Arial" w:hAnsi="Arial"/>
          <w:b w:val="false"/>
          <w:bCs w:val="false"/>
          <w:color w:val="2E86AB"/>
          <w:sz w:val="36"/>
          <w:szCs w:val="36"/>
        </w:rPr>
        <w:t xml:space="preserve">Quantitative Trading System</w:t>
      </w:r>
    </w:p>
    <w:p>
      <w:pPr>
        <w:spacing w:after="800" w:before="0"/>
        <w:jc w:val="center"/>
      </w:pPr>
      <w:r>
        <w:rPr>
          <w:rFonts w:ascii="Arial" w:cs="Arial" w:eastAsia="Arial" w:hAnsi="Arial"/>
          <w:b w:val="false"/>
          <w:bCs w:val="false"/>
          <w:color w:val="888888"/>
          <w:sz w:val="24"/>
          <w:szCs w:val="24"/>
        </w:rPr>
        <w:t xml:space="preserve">产品需求文档（PRD）· v1.0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</w:tblGrid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版本</w:t>
            </w:r>
          </w:p>
        </w:tc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v1.0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状态</w:t>
            </w:r>
          </w:p>
        </w:tc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05A2B"/>
                <w:sz w:val="18"/>
                <w:szCs w:val="18"/>
              </w:rPr>
              <w:t xml:space="preserve">草稿 → 评审中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日期</w:t>
            </w:r>
          </w:p>
        </w:tc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2026-05-25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作者</w:t>
            </w:r>
          </w:p>
        </w:tc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产品 &amp; 技术团队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适用市场</w:t>
            </w:r>
          </w:p>
        </w:tc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A股 / 港股 / 期货（可扩展）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86AB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一、项目概述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1.1 背景与目标</w:t>
      </w:r>
    </w:p>
    <w:p>
      <w:pPr>
        <w:spacing w:after="80" w:before="6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随着金融市场数据化程度持续提升，量化交易已成为机构与高净值个人投资者的核心工具。本系统旨在提供一套工业级、可上线运营的全链路量化交易平台，覆盖从数据采集、策略研发、回测验证、风险管控到实盘执行的完整生命周期，支持少量并发用户在生产环境下稳定运行。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1.2 系统定位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维度</w:t>
            </w:r>
          </w:p>
        </w:tc>
        <w:tc>
          <w:tcPr>
            <w:tcW w:type="dxa" w:w="7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E86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目标用户</w:t>
            </w:r>
          </w:p>
        </w:tc>
        <w:tc>
          <w:tcPr>
            <w:tcW w:type="dxa" w:w="7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量化研究员、策略开发者、自营交易员、私募基金运营方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并发规模</w:t>
            </w:r>
          </w:p>
        </w:tc>
        <w:tc>
          <w:tcPr>
            <w:tcW w:type="dxa" w:w="7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初期支撑 5~50 并发策略实例，单节点 QPS ≥ 500，可水平扩展至百级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延迟目标</w:t>
            </w:r>
          </w:p>
        </w:tc>
        <w:tc>
          <w:tcPr>
            <w:tcW w:type="dxa" w:w="7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行情处理 P99 &lt; 5ms；下单链路端到端 P99 &lt; 20ms（本地）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数据实时性</w:t>
            </w:r>
          </w:p>
        </w:tc>
        <w:tc>
          <w:tcPr>
            <w:tcW w:type="dxa" w:w="7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Level 1 Tick 数据推送延迟 &lt; 100ms；支持 Level 2（可选）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可用性</w:t>
            </w:r>
          </w:p>
        </w:tc>
        <w:tc>
          <w:tcPr>
            <w:tcW w:type="dxa" w:w="7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核心交易链路 SLA ≥ 99.9%，策略研发模块 SLA ≥ 99.5%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1.3 不在范围内（Out of Scope）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加密货币交易（可作后续迭代）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面向散户的 C 端 App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基金销售、资产管理牌照相关合规流程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高频做市（HFT &lt; 1ms 需专用硬件，不含在本 PRD）</w:t>
      </w:r>
    </w:p>
    <w:p>
      <w:r>
        <w:br w:type="page"/>
      </w:r>
    </w:p>
    <w:p>
      <w:pPr>
        <w:pStyle w:val="Heading1"/>
        <w:pBdr>
          <w:bottom w:val="single" w:color="2E86AB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二、系统整体架构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2.1 分层架构概览</w:t>
      </w:r>
    </w:p>
    <w:p>
      <w:pPr>
        <w:spacing w:after="80" w:before="6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系统采用六层架构，各层职责清晰，横向可扩展：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4760"/>
      </w:tblGrid>
      <w:t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层级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核心组件</w:t>
            </w:r>
          </w:p>
        </w:tc>
        <w:tc>
          <w:tcPr>
            <w:tcW w:type="dxa" w:w="4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职责说明</w:t>
            </w:r>
          </w:p>
        </w:tc>
      </w:tr>
      <w:t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L6 · 接入层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Nginx / API Gateway</w:t>
            </w:r>
          </w:p>
        </w:tc>
        <w:tc>
          <w:tcPr>
            <w:tcW w:type="dxa" w:w="4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TLS 终止、鉴权、限流、灰度路由</w:t>
            </w:r>
          </w:p>
        </w:tc>
      </w:tr>
      <w:t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L5 · 应用层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Strategy Engine / Web API</w:t>
            </w:r>
          </w:p>
        </w:tc>
        <w:tc>
          <w:tcPr>
            <w:tcW w:type="dxa" w:w="4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策略生命周期管理、REST / WebSocket 接口</w:t>
            </w:r>
          </w:p>
        </w:tc>
      </w:tr>
      <w:t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L4 · 核心引擎层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Order Router / Risk Engine</w:t>
            </w:r>
          </w:p>
        </w:tc>
        <w:tc>
          <w:tcPr>
            <w:tcW w:type="dxa" w:w="4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订单路由、风险前置校验、持仓管理</w:t>
            </w:r>
          </w:p>
        </w:tc>
      </w:tr>
      <w:t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L3 · 数据层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Market Data Service / TimeSeries DB</w:t>
            </w:r>
          </w:p>
        </w:tc>
        <w:tc>
          <w:tcPr>
            <w:tcW w:type="dxa" w:w="4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Tick 接收、分发、存储、因子计算</w:t>
            </w:r>
          </w:p>
        </w:tc>
      </w:tr>
      <w:t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L2 · 消息层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Kafka / Redis Streams</w:t>
            </w:r>
          </w:p>
        </w:tc>
        <w:tc>
          <w:tcPr>
            <w:tcW w:type="dxa" w:w="4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异步解耦、事件溯源、回放</w:t>
            </w:r>
          </w:p>
        </w:tc>
      </w:tr>
      <w:t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L1 · 基础设施层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Docker / K8s / Prometheus</w:t>
            </w:r>
          </w:p>
        </w:tc>
        <w:tc>
          <w:tcPr>
            <w:tcW w:type="dxa" w:w="4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容器编排、监控告警、CI/CD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2.2 技术选型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200"/>
        <w:gridCol w:w="4560"/>
      </w:tblGrid>
      <w:tr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组件</w:t>
            </w:r>
          </w:p>
        </w:tc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技术选型</w:t>
            </w:r>
          </w:p>
        </w:tc>
        <w:tc>
          <w:tcPr>
            <w:tcW w:type="dxa" w:w="4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选型理由</w:t>
            </w:r>
          </w:p>
        </w:tc>
      </w:tr>
      <w:tr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C"/>
                <w:sz w:val="18"/>
                <w:szCs w:val="18"/>
              </w:rPr>
              <w:t xml:space="preserve">后端框架</w:t>
            </w:r>
          </w:p>
        </w:tc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Python 3.11 + FastAPI / Go 1.22（高性能组件）</w:t>
            </w:r>
          </w:p>
        </w:tc>
        <w:tc>
          <w:tcPr>
            <w:tcW w:type="dxa" w:w="4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异步 IO，FastAPI 适合 API 层，Go 用于 Order Router 热路径</w:t>
            </w:r>
          </w:p>
        </w:tc>
      </w:tr>
      <w:tr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C"/>
                <w:sz w:val="18"/>
                <w:szCs w:val="18"/>
              </w:rPr>
              <w:t xml:space="preserve">消息队列</w:t>
            </w:r>
          </w:p>
        </w:tc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Apache Kafka 3.x</w:t>
            </w:r>
          </w:p>
        </w:tc>
        <w:tc>
          <w:tcPr>
            <w:tcW w:type="dxa" w:w="4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低延迟、持久化、可回放，支持万级 TPS</w:t>
            </w:r>
          </w:p>
        </w:tc>
      </w:tr>
      <w:tr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C"/>
                <w:sz w:val="18"/>
                <w:szCs w:val="18"/>
              </w:rPr>
              <w:t xml:space="preserve">实时缓存</w:t>
            </w:r>
          </w:p>
        </w:tc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Redis 7（Cluster）</w:t>
            </w:r>
          </w:p>
        </w:tc>
        <w:tc>
          <w:tcPr>
            <w:tcW w:type="dxa" w:w="4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Tick 快照、持仓缓存、分布式锁、限流令牌桶</w:t>
            </w:r>
          </w:p>
        </w:tc>
      </w:tr>
      <w:tr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C"/>
                <w:sz w:val="18"/>
                <w:szCs w:val="18"/>
              </w:rPr>
              <w:t xml:space="preserve">时序数据库</w:t>
            </w:r>
          </w:p>
        </w:tc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InfluxDB 2.x / QuestDB（可选）</w:t>
            </w:r>
          </w:p>
        </w:tc>
        <w:tc>
          <w:tcPr>
            <w:tcW w:type="dxa" w:w="4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高写入吞吐量，原生支持时序查询</w:t>
            </w:r>
          </w:p>
        </w:tc>
      </w:tr>
      <w:tr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C"/>
                <w:sz w:val="18"/>
                <w:szCs w:val="18"/>
              </w:rPr>
              <w:t xml:space="preserve">关系数据库</w:t>
            </w:r>
          </w:p>
        </w:tc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PostgreSQL 16</w:t>
            </w:r>
          </w:p>
        </w:tc>
        <w:tc>
          <w:tcPr>
            <w:tcW w:type="dxa" w:w="4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账户、订单、策略配置、审计日志</w:t>
            </w:r>
          </w:p>
        </w:tc>
      </w:tr>
      <w:tr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C"/>
                <w:sz w:val="18"/>
                <w:szCs w:val="18"/>
              </w:rPr>
              <w:t xml:space="preserve">对象存储</w:t>
            </w:r>
          </w:p>
        </w:tc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MinIO / AWS S3</w:t>
            </w:r>
          </w:p>
        </w:tc>
        <w:tc>
          <w:tcPr>
            <w:tcW w:type="dxa" w:w="4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历史 K 线数据、因子数据集、策略代码快照</w:t>
            </w:r>
          </w:p>
        </w:tc>
      </w:tr>
      <w:tr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C"/>
                <w:sz w:val="18"/>
                <w:szCs w:val="18"/>
              </w:rPr>
              <w:t xml:space="preserve">容器编排</w:t>
            </w:r>
          </w:p>
        </w:tc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Kubernetes（K3s 单节点起步可 → K8s 集群）</w:t>
            </w:r>
          </w:p>
        </w:tc>
        <w:tc>
          <w:tcPr>
            <w:tcW w:type="dxa" w:w="4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滚动发布、自动重启、资源隔离</w:t>
            </w:r>
          </w:p>
        </w:tc>
      </w:tr>
      <w:tr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C"/>
                <w:sz w:val="18"/>
                <w:szCs w:val="18"/>
              </w:rPr>
              <w:t xml:space="preserve">监控告警</w:t>
            </w:r>
          </w:p>
        </w:tc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Prometheus + Grafana + AlertManager</w:t>
            </w:r>
          </w:p>
        </w:tc>
        <w:tc>
          <w:tcPr>
            <w:tcW w:type="dxa" w:w="4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实时指标、延迟分布、告警通知</w:t>
            </w:r>
          </w:p>
        </w:tc>
      </w:tr>
      <w:tr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C"/>
                <w:sz w:val="18"/>
                <w:szCs w:val="18"/>
              </w:rPr>
              <w:t xml:space="preserve">日志</w:t>
            </w:r>
          </w:p>
        </w:tc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ELK（Elasticsearch + Logstash + Kibana）</w:t>
            </w:r>
          </w:p>
        </w:tc>
        <w:tc>
          <w:tcPr>
            <w:tcW w:type="dxa" w:w="4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全链路日志检索，订单审计</w:t>
            </w:r>
          </w:p>
        </w:tc>
      </w:tr>
      <w:tr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C"/>
                <w:sz w:val="18"/>
                <w:szCs w:val="18"/>
              </w:rPr>
              <w:t xml:space="preserve">CI/CD</w:t>
            </w:r>
          </w:p>
        </w:tc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GitHub Actions / GitLab CI + ArgoCD</w:t>
            </w:r>
          </w:p>
        </w:tc>
        <w:tc>
          <w:tcPr>
            <w:tcW w:type="dxa" w:w="4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自动测试、镜像构建、蓝绿发布</w:t>
            </w:r>
          </w:p>
        </w:tc>
      </w:tr>
      <w:tr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C"/>
                <w:sz w:val="18"/>
                <w:szCs w:val="18"/>
              </w:rPr>
              <w:t xml:space="preserve">前端</w:t>
            </w:r>
          </w:p>
        </w:tc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React 18 + Vite + TailwindCSS + ECharts</w:t>
            </w:r>
          </w:p>
        </w:tc>
        <w:tc>
          <w:tcPr>
            <w:tcW w:type="dxa" w:w="4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实时行情、策略监控、回测报告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86AB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三、数据模块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3.1 行情数据接入</w:t>
      </w:r>
    </w:p>
    <w:p>
      <w:pPr>
        <w:spacing w:after="80" w:before="6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行情数据是整个系统的血液，必须保证低延迟、高可靠。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3C5E"/>
          <w:sz w:val="22"/>
          <w:szCs w:val="22"/>
        </w:rPr>
        <w:t xml:space="preserve">3.1.1 数据源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3960"/>
      </w:tblGrid>
      <w:t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数据源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类型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延迟</w:t>
            </w:r>
          </w:p>
        </w:tc>
        <w:tc>
          <w:tcPr>
            <w:tcW w:type="dxa" w:w="3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券商行情 API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实时 Tick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&lt; 100ms</w:t>
            </w:r>
          </w:p>
        </w:tc>
        <w:tc>
          <w:tcPr>
            <w:tcW w:type="dxa" w:w="3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优先使用（如东方财富、中泰证券 API）</w:t>
            </w:r>
          </w:p>
        </w:tc>
      </w:tr>
      <w:t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上交所/深交所 UDP 组播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Level2 快照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&lt; 10ms</w:t>
            </w:r>
          </w:p>
        </w:tc>
        <w:tc>
          <w:tcPr>
            <w:tcW w:type="dxa" w:w="3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需申请授权，适合进阶场景</w:t>
            </w:r>
          </w:p>
        </w:tc>
      </w:tr>
      <w:t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聚宽 / 掘金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分钟 K 线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&lt; 1min</w:t>
            </w:r>
          </w:p>
        </w:tc>
        <w:tc>
          <w:tcPr>
            <w:tcW w:type="dxa" w:w="3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备用数据源，适合研究回测</w:t>
            </w:r>
          </w:p>
        </w:tc>
      </w:tr>
      <w:t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Tushare Pro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EOD / 财务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T+1</w:t>
            </w:r>
          </w:p>
        </w:tc>
        <w:tc>
          <w:tcPr>
            <w:tcW w:type="dxa" w:w="3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基本面数据、财报、分红等</w:t>
            </w:r>
          </w:p>
        </w:tc>
      </w:tr>
      <w:t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第三方爬虫（备用）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自采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分钟级</w:t>
            </w:r>
          </w:p>
        </w:tc>
        <w:tc>
          <w:tcPr>
            <w:tcW w:type="dxa" w:w="3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应对 API 限流，仅用于研究环境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3C5E"/>
          <w:sz w:val="22"/>
          <w:szCs w:val="22"/>
        </w:rPr>
        <w:t xml:space="preserve">3.1.2 Tick 数据处理流程</w:t>
      </w:r>
    </w:p>
    <w:p>
      <w:pPr>
        <w:spacing w:after="80" w:before="6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原始 Tick → 数据清洗（去重、异常过滤）→ 协议标准化 → 发布 Kafka Topic（market.tick.&lt;symbol&gt;）→ 消费端：策略引擎 / 因子计算 / TimeSeries 写入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2E86A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关键设计</w:t>
            </w:r>
          </w:p>
        </w:tc>
        <w:tc>
          <w:tcPr>
            <w:tcW w:type="dxa" w:w="792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EBF4F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Kafka Topic 按品种分区（Partition），保证同一品种内严格有序；数据清洗服务以 Go 实现，保证单核处理 &gt; 10 万 Tick/s。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3.2 历史数据管理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支持 Tick / 分钟 / 日 K 多粒度存储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历史数据入库：使用 InfluxDB Line Protocol 批量写入，批次 ≥ 5000 条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数据修复：对停牌、除权除息自动复权处理（前复权 / 后复权可配置）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存储容量估算：A 股全市场 Tick，约 50GB/天，压缩后 ~10GB/天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3.3 因子计算服务</w:t>
      </w:r>
    </w:p>
    <w:p>
      <w:pPr>
        <w:spacing w:after="80" w:before="6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因子是策略信号的基础，系统提供内置因子库和自定义因子框架：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内置因子：MA / EMA / MACD / RSI / Bollinger / VWAP / ATR / 成交量加权偏差 / 价差动量（共 50+ 因子）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自定义因子：用户以 Python 编写因子函数，注册后可在策略中调用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因子计算：支持实时增量计算（窗口滚动）和批量离线计算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因子存储：计算结果写入 InfluxDB，按时间窗口分桶索引</w:t>
      </w:r>
    </w:p>
    <w:p>
      <w:r>
        <w:br w:type="page"/>
      </w:r>
    </w:p>
    <w:p>
      <w:pPr>
        <w:pStyle w:val="Heading1"/>
        <w:pBdr>
          <w:bottom w:val="single" w:color="2E86AB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四、策略引擎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4.1 策略生命周期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状态</w:t>
            </w:r>
          </w:p>
        </w:tc>
        <w:tc>
          <w:tcPr>
            <w:tcW w:type="dxa" w:w="7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AB"/>
                <w:sz w:val="18"/>
                <w:szCs w:val="18"/>
              </w:rPr>
              <w:t xml:space="preserve">草稿（Draft）</w:t>
            </w:r>
          </w:p>
        </w:tc>
        <w:tc>
          <w:tcPr>
            <w:tcW w:type="dxa" w:w="7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用户编写策略代码，保存在版本控制中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AB"/>
                <w:sz w:val="18"/>
                <w:szCs w:val="18"/>
              </w:rPr>
              <w:t xml:space="preserve">回测（Backtesting）</w:t>
            </w:r>
          </w:p>
        </w:tc>
        <w:tc>
          <w:tcPr>
            <w:tcW w:type="dxa" w:w="7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在历史数据上运行，生成绩效报告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AB"/>
                <w:sz w:val="18"/>
                <w:szCs w:val="18"/>
              </w:rPr>
              <w:t xml:space="preserve">仿真（Paper Trading）</w:t>
            </w:r>
          </w:p>
        </w:tc>
        <w:tc>
          <w:tcPr>
            <w:tcW w:type="dxa" w:w="7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接真实行情，不发真实订单，验证逻辑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AB"/>
                <w:sz w:val="18"/>
                <w:szCs w:val="18"/>
              </w:rPr>
              <w:t xml:space="preserve">运行（Live）</w:t>
            </w:r>
          </w:p>
        </w:tc>
        <w:tc>
          <w:tcPr>
            <w:tcW w:type="dxa" w:w="7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接真实行情，发真实订单，受风控约束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AB"/>
                <w:sz w:val="18"/>
                <w:szCs w:val="18"/>
              </w:rPr>
              <w:t xml:space="preserve">暂停（Paused）</w:t>
            </w:r>
          </w:p>
        </w:tc>
        <w:tc>
          <w:tcPr>
            <w:tcW w:type="dxa" w:w="7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暂停下单，保持持仓，可随时恢复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AB"/>
                <w:sz w:val="18"/>
                <w:szCs w:val="18"/>
              </w:rPr>
              <w:t xml:space="preserve">停止（Stopped）</w:t>
            </w:r>
          </w:p>
        </w:tc>
        <w:tc>
          <w:tcPr>
            <w:tcW w:type="dxa" w:w="7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清仓或保持仓位，停止一切操作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4.2 策略开发框架（SDK）</w:t>
      </w:r>
    </w:p>
    <w:p>
      <w:pPr>
        <w:spacing w:after="80" w:before="6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提供 Python SDK，策略开发者继承 BaseStrategy 实现核心回调：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2E86A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SDK 示例</w:t>
            </w:r>
          </w:p>
        </w:tc>
        <w:tc>
          <w:tcPr>
            <w:tcW w:type="dxa" w:w="792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EBF4F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class MyStrategy(BaseStrategy):
    def on_init(self): self.register("000001.SZ")
    def on_tick(self, tick): ...
    def on_bar(self, bar): ...
    def on_order(self, order): ...
    def on_trade(self, trade): ...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3C5E"/>
          <w:sz w:val="22"/>
          <w:szCs w:val="22"/>
        </w:rPr>
        <w:t xml:space="preserve">4.2.1 关键 API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方法签名</w:t>
            </w:r>
          </w:p>
        </w:tc>
        <w:tc>
          <w:tcPr>
            <w:tcW w:type="dxa" w:w="5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4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self.buy(symbol, qty, price, order_type)</w:t>
            </w:r>
          </w:p>
        </w:tc>
        <w:tc>
          <w:tcPr>
            <w:tcW w:type="dxa" w:w="5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发送买单（支持限价/市价/FAK/FOK）</w:t>
            </w:r>
          </w:p>
        </w:tc>
      </w:tr>
      <w:tr>
        <w:tc>
          <w:tcPr>
            <w:tcW w:type="dxa" w:w="4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self.sell(symbol, qty, price, order_type)</w:t>
            </w:r>
          </w:p>
        </w:tc>
        <w:tc>
          <w:tcPr>
            <w:tcW w:type="dxa" w:w="5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发送卖单</w:t>
            </w:r>
          </w:p>
        </w:tc>
      </w:tr>
      <w:tr>
        <w:tc>
          <w:tcPr>
            <w:tcW w:type="dxa" w:w="4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self.cancel(order_id)</w:t>
            </w:r>
          </w:p>
        </w:tc>
        <w:tc>
          <w:tcPr>
            <w:tcW w:type="dxa" w:w="5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撤单</w:t>
            </w:r>
          </w:p>
        </w:tc>
      </w:tr>
      <w:tr>
        <w:tc>
          <w:tcPr>
            <w:tcW w:type="dxa" w:w="4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self.get_position(symbol)</w:t>
            </w:r>
          </w:p>
        </w:tc>
        <w:tc>
          <w:tcPr>
            <w:tcW w:type="dxa" w:w="5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查询当前持仓</w:t>
            </w:r>
          </w:p>
        </w:tc>
      </w:tr>
      <w:tr>
        <w:tc>
          <w:tcPr>
            <w:tcW w:type="dxa" w:w="4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self.get_account()</w:t>
            </w:r>
          </w:p>
        </w:tc>
        <w:tc>
          <w:tcPr>
            <w:tcW w:type="dxa" w:w="5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查询资金账户</w:t>
            </w:r>
          </w:p>
        </w:tc>
      </w:tr>
      <w:tr>
        <w:tc>
          <w:tcPr>
            <w:tcW w:type="dxa" w:w="4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self.get_history(symbol, period, count)</w:t>
            </w:r>
          </w:p>
        </w:tc>
        <w:tc>
          <w:tcPr>
            <w:tcW w:type="dxa" w:w="5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获取历史 K 线</w:t>
            </w:r>
          </w:p>
        </w:tc>
      </w:tr>
      <w:tr>
        <w:tc>
          <w:tcPr>
            <w:tcW w:type="dxa" w:w="4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self.log(msg, level)</w:t>
            </w:r>
          </w:p>
        </w:tc>
        <w:tc>
          <w:tcPr>
            <w:tcW w:type="dxa" w:w="5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策略日志输出（与系统日志隔离）</w:t>
            </w:r>
          </w:p>
        </w:tc>
      </w:tr>
      <w:tr>
        <w:tc>
          <w:tcPr>
            <w:tcW w:type="dxa" w:w="4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self.plot(name, value)</w:t>
            </w:r>
          </w:p>
        </w:tc>
        <w:tc>
          <w:tcPr>
            <w:tcW w:type="dxa" w:w="5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绘图数据上报（前端实时可见）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4.3 策略隔离与沙箱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每个策略运行在独立 Docker 容器中，资源限制（CPU: 1C, Mem: 512MB 可配置）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策略代码运行在 RestrictedPython 沙箱内，禁止文件系统写入、网络访问、os 调用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策略进程崩溃自动重启，重启后恢复最后一次持仓快照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策略间完全隔离，不可相互访问持仓和账户</w:t>
      </w:r>
    </w:p>
    <w:p>
      <w:pPr>
        <w:spacing w:after="0" w:before="20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4.4 回测引擎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能力</w:t>
            </w:r>
          </w:p>
        </w:tc>
        <w:tc>
          <w:tcPr>
            <w:tcW w:type="dxa" w:w="7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C"/>
                <w:sz w:val="18"/>
                <w:szCs w:val="18"/>
              </w:rPr>
              <w:t xml:space="preserve">数据精度</w:t>
            </w:r>
          </w:p>
        </w:tc>
        <w:tc>
          <w:tcPr>
            <w:tcW w:type="dxa" w:w="7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Tick 级别（最高精度）/ 分钟 K（默认）/ 日 K（快速）</w:t>
            </w:r>
          </w:p>
        </w:tc>
      </w:tr>
      <w:t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C"/>
                <w:sz w:val="18"/>
                <w:szCs w:val="18"/>
              </w:rPr>
              <w:t xml:space="preserve">撮合模型</w:t>
            </w:r>
          </w:p>
        </w:tc>
        <w:tc>
          <w:tcPr>
            <w:tcW w:type="dxa" w:w="7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默认使用「下一 Tick 成交」；高级模式支持盘口深度撮合（需 Level2）</w:t>
            </w:r>
          </w:p>
        </w:tc>
      </w:tr>
      <w:t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C"/>
                <w:sz w:val="18"/>
                <w:szCs w:val="18"/>
              </w:rPr>
              <w:t xml:space="preserve">滑点模型</w:t>
            </w:r>
          </w:p>
        </w:tc>
        <w:tc>
          <w:tcPr>
            <w:tcW w:type="dxa" w:w="7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固定滑点 / 比例滑点 / 动态（ATR 倍数）三种可配置</w:t>
            </w:r>
          </w:p>
        </w:tc>
      </w:tr>
      <w:t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C"/>
                <w:sz w:val="18"/>
                <w:szCs w:val="18"/>
              </w:rPr>
              <w:t xml:space="preserve">手续费</w:t>
            </w:r>
          </w:p>
        </w:tc>
        <w:tc>
          <w:tcPr>
            <w:tcW w:type="dxa" w:w="7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券商费率模板预置（万 2.5 / 万 3 等），支持自定义</w:t>
            </w:r>
          </w:p>
        </w:tc>
      </w:tr>
      <w:t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C"/>
                <w:sz w:val="18"/>
                <w:szCs w:val="18"/>
              </w:rPr>
              <w:t xml:space="preserve">并行回测</w:t>
            </w:r>
          </w:p>
        </w:tc>
        <w:tc>
          <w:tcPr>
            <w:tcW w:type="dxa" w:w="7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支持参数扫描（Grid Search），多进程并行，结果写入数据库</w:t>
            </w:r>
          </w:p>
        </w:tc>
      </w:tr>
      <w:t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C"/>
                <w:sz w:val="18"/>
                <w:szCs w:val="18"/>
              </w:rPr>
              <w:t xml:space="preserve">报告输出</w:t>
            </w:r>
          </w:p>
        </w:tc>
        <w:tc>
          <w:tcPr>
            <w:tcW w:type="dxa" w:w="7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夏普比率 / 最大回撤 / 年化收益 / 胜率 / Calmar / 索提诺比率 + 逐笔交易明细</w:t>
            </w:r>
          </w:p>
        </w:tc>
      </w:tr>
      <w:t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C"/>
                <w:sz w:val="18"/>
                <w:szCs w:val="18"/>
              </w:rPr>
              <w:t xml:space="preserve">资金管理</w:t>
            </w:r>
          </w:p>
        </w:tc>
        <w:tc>
          <w:tcPr>
            <w:tcW w:type="dxa" w:w="7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支持固定仓位 / Kelly 公式 / 等风险配置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86AB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五、风险控制模块</w:t>
      </w:r>
    </w:p>
    <w:p>
      <w:pPr>
        <w:spacing w:after="80" w:before="6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风控模块是系统的安全底线，分三层防护：策略层、账户层、平台层。所有校验在下单前同步完成，拒绝后不进入 Broker 网关。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5.1 三层风控架构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5560"/>
      </w:tblGrid>
      <w:tr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层级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作用域</w:t>
            </w:r>
          </w:p>
        </w:tc>
        <w:tc>
          <w:tcPr>
            <w:tcW w:type="dxa" w:w="5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规则示例</w:t>
            </w:r>
          </w:p>
        </w:tc>
      </w:tr>
      <w:tr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05A2B"/>
                <w:sz w:val="18"/>
                <w:szCs w:val="18"/>
              </w:rPr>
              <w:t xml:space="preserve">策略层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单策略</w:t>
            </w:r>
          </w:p>
        </w:tc>
        <w:tc>
          <w:tcPr>
            <w:tcW w:type="dxa" w:w="5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单策略最大持仓市值 / 单日最大亏损 / 最大开仓频率</w:t>
            </w:r>
          </w:p>
        </w:tc>
      </w:tr>
      <w:tr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05A2B"/>
                <w:sz w:val="18"/>
                <w:szCs w:val="18"/>
              </w:rPr>
              <w:t xml:space="preserve">账户层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单账户</w:t>
            </w:r>
          </w:p>
        </w:tc>
        <w:tc>
          <w:tcPr>
            <w:tcW w:type="dxa" w:w="5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总持仓市值上限 / 单品种集中度 / 总杠杆比例</w:t>
            </w:r>
          </w:p>
        </w:tc>
      </w:tr>
      <w:tr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05A2B"/>
                <w:sz w:val="18"/>
                <w:szCs w:val="18"/>
              </w:rPr>
              <w:t xml:space="preserve">平台层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全局</w:t>
            </w:r>
          </w:p>
        </w:tc>
        <w:tc>
          <w:tcPr>
            <w:tcW w:type="dxa" w:w="5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品种黑名单 / 涨跌停保护 / 熔断机制 / 异常撤单检测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5.2 风控规则详情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规则</w:t>
            </w:r>
          </w:p>
        </w:tc>
        <w:tc>
          <w:tcPr>
            <w:tcW w:type="dxa" w:w="6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C"/>
                <w:sz w:val="18"/>
                <w:szCs w:val="18"/>
              </w:rPr>
              <w:t xml:space="preserve">单笔下单量上限</w:t>
            </w:r>
          </w:p>
        </w:tc>
        <w:tc>
          <w:tcPr>
            <w:tcW w:type="dxa" w:w="6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可配置，默认 10 万股，超限自动拆单或拒绝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C"/>
                <w:sz w:val="18"/>
                <w:szCs w:val="18"/>
              </w:rPr>
              <w:t xml:space="preserve">单日亏损熔断</w:t>
            </w:r>
          </w:p>
        </w:tc>
        <w:tc>
          <w:tcPr>
            <w:tcW w:type="dxa" w:w="6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当策略当日浮亏 ≥ X%（默认 5%）自动暂停策略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C"/>
                <w:sz w:val="18"/>
                <w:szCs w:val="18"/>
              </w:rPr>
              <w:t xml:space="preserve">持仓集中度</w:t>
            </w:r>
          </w:p>
        </w:tc>
        <w:tc>
          <w:tcPr>
            <w:tcW w:type="dxa" w:w="6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单品种持仓市值 ≤ 总资产 30%（可配置）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C"/>
                <w:sz w:val="18"/>
                <w:szCs w:val="18"/>
              </w:rPr>
              <w:t xml:space="preserve">涨跌停保护</w:t>
            </w:r>
          </w:p>
        </w:tc>
        <w:tc>
          <w:tcPr>
            <w:tcW w:type="dxa" w:w="6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禁止在涨停价追买 / 跌停价追卖（可豁免配置）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C"/>
                <w:sz w:val="18"/>
                <w:szCs w:val="18"/>
              </w:rPr>
              <w:t xml:space="preserve">频率限制</w:t>
            </w:r>
          </w:p>
        </w:tc>
        <w:tc>
          <w:tcPr>
            <w:tcW w:type="dxa" w:w="6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单策略下单频率 ≤ N 次/分钟（防策略 Bug 造成爆仓）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C"/>
                <w:sz w:val="18"/>
                <w:szCs w:val="18"/>
              </w:rPr>
              <w:t xml:space="preserve">黑名单品种</w:t>
            </w:r>
          </w:p>
        </w:tc>
        <w:tc>
          <w:tcPr>
            <w:tcW w:type="dxa" w:w="6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平台级别配置，强制禁止交易特定品种（ST / 退市风险等）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C"/>
                <w:sz w:val="18"/>
                <w:szCs w:val="18"/>
              </w:rPr>
              <w:t xml:space="preserve">T+1 限制</w:t>
            </w:r>
          </w:p>
        </w:tc>
        <w:tc>
          <w:tcPr>
            <w:tcW w:type="dxa" w:w="6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A 股当日买入的股票当日不可卖出（自动校验）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C"/>
                <w:sz w:val="18"/>
                <w:szCs w:val="18"/>
              </w:rPr>
              <w:t xml:space="preserve">资金充足性</w:t>
            </w:r>
          </w:p>
        </w:tc>
        <w:tc>
          <w:tcPr>
            <w:tcW w:type="dxa" w:w="6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下单前校验可用资金 ≥ 预估成本 × 1.02（含手续费缓冲）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C"/>
                <w:sz w:val="18"/>
                <w:szCs w:val="18"/>
              </w:rPr>
              <w:t xml:space="preserve">异常价格检测</w:t>
            </w:r>
          </w:p>
        </w:tc>
        <w:tc>
          <w:tcPr>
            <w:tcW w:type="dxa" w:w="6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委托价偏离最新成交价 ≥ 5% 时拦截并告警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2E86A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⚠️ 关键要求</w:t>
            </w:r>
          </w:p>
        </w:tc>
        <w:tc>
          <w:tcPr>
            <w:tcW w:type="dxa" w:w="792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EBF4F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风控校验必须是同步阻塞调用，时延目标 P99 &lt; 1ms（Redis 读取 + 内存计算），不得引入外部 IO 等待。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86AB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六、订单管理与经纪商接入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6.1 订单状态机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状态</w:t>
            </w:r>
          </w:p>
        </w:tc>
        <w:tc>
          <w:tcPr>
            <w:tcW w:type="dxa" w:w="6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AB"/>
                <w:sz w:val="18"/>
                <w:szCs w:val="18"/>
              </w:rPr>
              <w:t xml:space="preserve">PENDING_SUBMIT</w:t>
            </w:r>
          </w:p>
        </w:tc>
        <w:tc>
          <w:tcPr>
            <w:tcW w:type="dxa" w:w="6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待提交（风控校验通过，等待发送）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AB"/>
                <w:sz w:val="18"/>
                <w:szCs w:val="18"/>
              </w:rPr>
              <w:t xml:space="preserve">SUBMITTED</w:t>
            </w:r>
          </w:p>
        </w:tc>
        <w:tc>
          <w:tcPr>
            <w:tcW w:type="dxa" w:w="6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已提交到 Broker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AB"/>
                <w:sz w:val="18"/>
                <w:szCs w:val="18"/>
              </w:rPr>
              <w:t xml:space="preserve">PARTIAL_FILLED</w:t>
            </w:r>
          </w:p>
        </w:tc>
        <w:tc>
          <w:tcPr>
            <w:tcW w:type="dxa" w:w="6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部分成交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AB"/>
                <w:sz w:val="18"/>
                <w:szCs w:val="18"/>
              </w:rPr>
              <w:t xml:space="preserve">FILLED</w:t>
            </w:r>
          </w:p>
        </w:tc>
        <w:tc>
          <w:tcPr>
            <w:tcW w:type="dxa" w:w="6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全部成交（终态）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AB"/>
                <w:sz w:val="18"/>
                <w:szCs w:val="18"/>
              </w:rPr>
              <w:t xml:space="preserve">CANCELLED</w:t>
            </w:r>
          </w:p>
        </w:tc>
        <w:tc>
          <w:tcPr>
            <w:tcW w:type="dxa" w:w="6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已撤单（终态）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AB"/>
                <w:sz w:val="18"/>
                <w:szCs w:val="18"/>
              </w:rPr>
              <w:t xml:space="preserve">REJECTED</w:t>
            </w:r>
          </w:p>
        </w:tc>
        <w:tc>
          <w:tcPr>
            <w:tcW w:type="dxa" w:w="6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被拒绝（Broker 拒单 / 风控拦截）（终态）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AB"/>
                <w:sz w:val="18"/>
                <w:szCs w:val="18"/>
              </w:rPr>
              <w:t xml:space="preserve">ERROR</w:t>
            </w:r>
          </w:p>
        </w:tc>
        <w:tc>
          <w:tcPr>
            <w:tcW w:type="dxa" w:w="6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系统错误（终态，需人工处理）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6.2 Broker 网关接入</w:t>
      </w:r>
    </w:p>
    <w:p>
      <w:pPr>
        <w:spacing w:after="80" w:before="6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系统通过统一 Broker 抽象接口对接多家券商，便于切换：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CTP（期货，主流期货公司通用）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XTP（华鑫证券）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东方财富 Level2 API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模拟 Broker（回测 / 仿真环境内置）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2E86A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接口抽象</w:t>
            </w:r>
          </w:p>
        </w:tc>
        <w:tc>
          <w:tcPr>
            <w:tcW w:type="dxa" w:w="792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EBF4F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定义 IBrokerGateway 接口（connect / disconnect / send_order / cancel_order / query_position / query_account），各 Broker 实现该接口，上层不感知底层差异。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6.3 订单路由策略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默认路由：同一账户所有订单走配置的主 Broker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智能路由（进阶）：根据品种、市场最优报价自动选择 Broker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备援切换：主 Broker 断线后自动切换备用 Broker，切换时间 &lt; 3s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订单拆分：大单自动按时间切片发送（TWAP / VWAP 算法下单）</w:t>
      </w:r>
    </w:p>
    <w:p>
      <w:r>
        <w:br w:type="page"/>
      </w:r>
    </w:p>
    <w:p>
      <w:pPr>
        <w:pStyle w:val="Heading1"/>
        <w:pBdr>
          <w:bottom w:val="single" w:color="2E86AB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七、API 接口设计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7.1 REST API（管理面）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400"/>
        <w:gridCol w:w="5160"/>
      </w:tblGrid>
      <w:tr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dxa" w:w="5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AB"/>
                <w:sz w:val="18"/>
                <w:szCs w:val="18"/>
              </w:rPr>
              <w:t xml:space="preserve">GET</w:t>
            </w:r>
          </w:p>
        </w:tc>
        <w:tc>
          <w:tcPr>
            <w:tcW w:type="dxa" w:w="3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/api/v1/strategies</w:t>
            </w:r>
          </w:p>
        </w:tc>
        <w:tc>
          <w:tcPr>
            <w:tcW w:type="dxa" w:w="5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获取策略列表（分页、状态过滤）</w:t>
            </w:r>
          </w:p>
        </w:tc>
      </w:tr>
      <w:tr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AB"/>
                <w:sz w:val="18"/>
                <w:szCs w:val="18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/api/v1/strategies</w:t>
            </w:r>
          </w:p>
        </w:tc>
        <w:tc>
          <w:tcPr>
            <w:tcW w:type="dxa" w:w="5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创建策略（上传代码、初始参数）</w:t>
            </w:r>
          </w:p>
        </w:tc>
      </w:tr>
      <w:tr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AB"/>
                <w:sz w:val="18"/>
                <w:szCs w:val="18"/>
              </w:rPr>
              <w:t xml:space="preserve">PUT</w:t>
            </w:r>
          </w:p>
        </w:tc>
        <w:tc>
          <w:tcPr>
            <w:tcW w:type="dxa" w:w="3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/api/v1/strategies/{id}/start</w:t>
            </w:r>
          </w:p>
        </w:tc>
        <w:tc>
          <w:tcPr>
            <w:tcW w:type="dxa" w:w="5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启动策略（Draft→Live / Paper）</w:t>
            </w:r>
          </w:p>
        </w:tc>
      </w:tr>
      <w:tr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AB"/>
                <w:sz w:val="18"/>
                <w:szCs w:val="18"/>
              </w:rPr>
              <w:t xml:space="preserve">PUT</w:t>
            </w:r>
          </w:p>
        </w:tc>
        <w:tc>
          <w:tcPr>
            <w:tcW w:type="dxa" w:w="3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/api/v1/strategies/{id}/pause</w:t>
            </w:r>
          </w:p>
        </w:tc>
        <w:tc>
          <w:tcPr>
            <w:tcW w:type="dxa" w:w="5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暂停策略</w:t>
            </w:r>
          </w:p>
        </w:tc>
      </w:tr>
      <w:tr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AB"/>
                <w:sz w:val="18"/>
                <w:szCs w:val="18"/>
              </w:rPr>
              <w:t xml:space="preserve">DELETE</w:t>
            </w:r>
          </w:p>
        </w:tc>
        <w:tc>
          <w:tcPr>
            <w:tcW w:type="dxa" w:w="3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/api/v1/strategies/{id}</w:t>
            </w:r>
          </w:p>
        </w:tc>
        <w:tc>
          <w:tcPr>
            <w:tcW w:type="dxa" w:w="5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删除策略</w:t>
            </w:r>
          </w:p>
        </w:tc>
      </w:tr>
      <w:tr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AB"/>
                <w:sz w:val="18"/>
                <w:szCs w:val="18"/>
              </w:rPr>
              <w:t xml:space="preserve">GET</w:t>
            </w:r>
          </w:p>
        </w:tc>
        <w:tc>
          <w:tcPr>
            <w:tcW w:type="dxa" w:w="3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/api/v1/strategies/{id}/positions</w:t>
            </w:r>
          </w:p>
        </w:tc>
        <w:tc>
          <w:tcPr>
            <w:tcW w:type="dxa" w:w="5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查询策略持仓</w:t>
            </w:r>
          </w:p>
        </w:tc>
      </w:tr>
      <w:tr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AB"/>
                <w:sz w:val="18"/>
                <w:szCs w:val="18"/>
              </w:rPr>
              <w:t xml:space="preserve">GET</w:t>
            </w:r>
          </w:p>
        </w:tc>
        <w:tc>
          <w:tcPr>
            <w:tcW w:type="dxa" w:w="3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/api/v1/strategies/{id}/orders</w:t>
            </w:r>
          </w:p>
        </w:tc>
        <w:tc>
          <w:tcPr>
            <w:tcW w:type="dxa" w:w="5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查询策略订单（支持日期 / 状态过滤）</w:t>
            </w:r>
          </w:p>
        </w:tc>
      </w:tr>
      <w:tr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AB"/>
                <w:sz w:val="18"/>
                <w:szCs w:val="18"/>
              </w:rPr>
              <w:t xml:space="preserve">GET</w:t>
            </w:r>
          </w:p>
        </w:tc>
        <w:tc>
          <w:tcPr>
            <w:tcW w:type="dxa" w:w="3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/api/v1/strategies/{id}/performance</w:t>
            </w:r>
          </w:p>
        </w:tc>
        <w:tc>
          <w:tcPr>
            <w:tcW w:type="dxa" w:w="5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策略绩效报告</w:t>
            </w:r>
          </w:p>
        </w:tc>
      </w:tr>
      <w:tr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AB"/>
                <w:sz w:val="18"/>
                <w:szCs w:val="18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/api/v1/backtests</w:t>
            </w:r>
          </w:p>
        </w:tc>
        <w:tc>
          <w:tcPr>
            <w:tcW w:type="dxa" w:w="5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提交回测任务</w:t>
            </w:r>
          </w:p>
        </w:tc>
      </w:tr>
      <w:tr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AB"/>
                <w:sz w:val="18"/>
                <w:szCs w:val="18"/>
              </w:rPr>
              <w:t xml:space="preserve">GET</w:t>
            </w:r>
          </w:p>
        </w:tc>
        <w:tc>
          <w:tcPr>
            <w:tcW w:type="dxa" w:w="3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/api/v1/backtests/{id}/report</w:t>
            </w:r>
          </w:p>
        </w:tc>
        <w:tc>
          <w:tcPr>
            <w:tcW w:type="dxa" w:w="5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获取回测报告</w:t>
            </w:r>
          </w:p>
        </w:tc>
      </w:tr>
      <w:tr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AB"/>
                <w:sz w:val="18"/>
                <w:szCs w:val="18"/>
              </w:rPr>
              <w:t xml:space="preserve">GET</w:t>
            </w:r>
          </w:p>
        </w:tc>
        <w:tc>
          <w:tcPr>
            <w:tcW w:type="dxa" w:w="3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/api/v1/accounts</w:t>
            </w:r>
          </w:p>
        </w:tc>
        <w:tc>
          <w:tcPr>
            <w:tcW w:type="dxa" w:w="5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查询账户资金信息</w:t>
            </w:r>
          </w:p>
        </w:tc>
      </w:tr>
      <w:tr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AB"/>
                <w:sz w:val="18"/>
                <w:szCs w:val="18"/>
              </w:rPr>
              <w:t xml:space="preserve">GET</w:t>
            </w:r>
          </w:p>
        </w:tc>
        <w:tc>
          <w:tcPr>
            <w:tcW w:type="dxa" w:w="3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/api/v1/risk/rules</w:t>
            </w:r>
          </w:p>
        </w:tc>
        <w:tc>
          <w:tcPr>
            <w:tcW w:type="dxa" w:w="5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查询风控规则</w:t>
            </w:r>
          </w:p>
        </w:tc>
      </w:tr>
      <w:tr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AB"/>
                <w:sz w:val="18"/>
                <w:szCs w:val="18"/>
              </w:rPr>
              <w:t xml:space="preserve">PUT</w:t>
            </w:r>
          </w:p>
        </w:tc>
        <w:tc>
          <w:tcPr>
            <w:tcW w:type="dxa" w:w="3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/api/v1/risk/rules/{id}</w:t>
            </w:r>
          </w:p>
        </w:tc>
        <w:tc>
          <w:tcPr>
            <w:tcW w:type="dxa" w:w="5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更新风控规则</w:t>
            </w:r>
          </w:p>
        </w:tc>
      </w:tr>
      <w:tr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AB"/>
                <w:sz w:val="18"/>
                <w:szCs w:val="18"/>
              </w:rPr>
              <w:t xml:space="preserve">GET</w:t>
            </w:r>
          </w:p>
        </w:tc>
        <w:tc>
          <w:tcPr>
            <w:tcW w:type="dxa" w:w="3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/api/v1/market/quote/{symbol}</w:t>
            </w:r>
          </w:p>
        </w:tc>
        <w:tc>
          <w:tcPr>
            <w:tcW w:type="dxa" w:w="5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查询最新行情快照</w:t>
            </w:r>
          </w:p>
        </w:tc>
      </w:tr>
      <w:tr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AB"/>
                <w:sz w:val="18"/>
                <w:szCs w:val="18"/>
              </w:rPr>
              <w:t xml:space="preserve">GET</w:t>
            </w:r>
          </w:p>
        </w:tc>
        <w:tc>
          <w:tcPr>
            <w:tcW w:type="dxa" w:w="3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/api/v1/market/kline/{symbol}</w:t>
            </w:r>
          </w:p>
        </w:tc>
        <w:tc>
          <w:tcPr>
            <w:tcW w:type="dxa" w:w="5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查询历史 K 线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7.2 WebSocket 实时推送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Topic</w:t>
            </w:r>
          </w:p>
        </w:tc>
        <w:tc>
          <w:tcPr>
            <w:tcW w:type="dxa" w:w="6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内容</w:t>
            </w:r>
          </w:p>
        </w:tc>
      </w:tr>
      <w:tr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market.tick.{symbol}</w:t>
            </w:r>
          </w:p>
        </w:tc>
        <w:tc>
          <w:tcPr>
            <w:tcW w:type="dxa" w:w="6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实时 Tick 推送（bid/ask/last/vol/time）</w:t>
            </w:r>
          </w:p>
        </w:tc>
      </w:tr>
      <w:tr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market.bar.{symbol}.{period}</w:t>
            </w:r>
          </w:p>
        </w:tc>
        <w:tc>
          <w:tcPr>
            <w:tcW w:type="dxa" w:w="6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实时 K 线更新（1m / 5m / 15m / 1h / 1d）</w:t>
            </w:r>
          </w:p>
        </w:tc>
      </w:tr>
      <w:tr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strategy.{id}.signal</w:t>
            </w:r>
          </w:p>
        </w:tc>
        <w:tc>
          <w:tcPr>
            <w:tcW w:type="dxa" w:w="6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策略信号事件（买卖信号、自定义事件）</w:t>
            </w:r>
          </w:p>
        </w:tc>
      </w:tr>
      <w:tr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strategy.{id}.order</w:t>
            </w:r>
          </w:p>
        </w:tc>
        <w:tc>
          <w:tcPr>
            <w:tcW w:type="dxa" w:w="6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订单状态实时更新</w:t>
            </w:r>
          </w:p>
        </w:tc>
      </w:tr>
      <w:tr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strategy.{id}.trade</w:t>
            </w:r>
          </w:p>
        </w:tc>
        <w:tc>
          <w:tcPr>
            <w:tcW w:type="dxa" w:w="6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成交回报实时推送</w:t>
            </w:r>
          </w:p>
        </w:tc>
      </w:tr>
      <w:tr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strategy.{id}.position</w:t>
            </w:r>
          </w:p>
        </w:tc>
        <w:tc>
          <w:tcPr>
            <w:tcW w:type="dxa" w:w="6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持仓变化推送</w:t>
            </w:r>
          </w:p>
        </w:tc>
      </w:tr>
      <w:tr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strategy.{id}.log</w:t>
            </w:r>
          </w:p>
        </w:tc>
        <w:tc>
          <w:tcPr>
            <w:tcW w:type="dxa" w:w="6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策略日志实时流</w:t>
            </w:r>
          </w:p>
        </w:tc>
      </w:tr>
      <w:tr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risk.alert</w:t>
            </w:r>
          </w:p>
        </w:tc>
        <w:tc>
          <w:tcPr>
            <w:tcW w:type="dxa" w:w="6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风控告警事件（账户级）</w:t>
            </w:r>
          </w:p>
        </w:tc>
      </w:tr>
      <w:tr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account.{id}.update</w:t>
            </w:r>
          </w:p>
        </w:tc>
        <w:tc>
          <w:tcPr>
            <w:tcW w:type="dxa" w:w="6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资金账户余额实时变化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7.3 认证与安全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认证：JWT（Access Token 2h + Refresh Token 30d）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权限：RBAC（Admin / Trader / Researcher / ReadOnly）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API 限流：基于 Redis 令牌桶，REST 限 100 req/min/user，WebSocket 限 20 订阅/连接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审计日志：所有下单、撤单、配置变更写入审计表，不可删除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传输加密：全链路 TLS 1.3，Broker 通道额外 VPN 隧道</w:t>
      </w:r>
    </w:p>
    <w:p>
      <w:r>
        <w:br w:type="page"/>
      </w:r>
    </w:p>
    <w:p>
      <w:pPr>
        <w:pStyle w:val="Heading1"/>
        <w:pBdr>
          <w:bottom w:val="single" w:color="2E86AB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八、前端功能模块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8.1 页面清单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页面</w:t>
            </w:r>
          </w:p>
        </w:tc>
        <w:tc>
          <w:tcPr>
            <w:tcW w:type="dxa" w:w="7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核心内容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C"/>
                <w:sz w:val="18"/>
                <w:szCs w:val="18"/>
              </w:rPr>
              <w:t xml:space="preserve">行情看板</w:t>
            </w:r>
          </w:p>
        </w:tc>
        <w:tc>
          <w:tcPr>
            <w:tcW w:type="dxa" w:w="7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自选股行情、实时 K 线图（ECharts）、深度图、成交明细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C"/>
                <w:sz w:val="18"/>
                <w:szCs w:val="18"/>
              </w:rPr>
              <w:t xml:space="preserve">策略管理</w:t>
            </w:r>
          </w:p>
        </w:tc>
        <w:tc>
          <w:tcPr>
            <w:tcW w:type="dxa" w:w="7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策略列表、代码编辑器（Monaco）、状态控制、参数面板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C"/>
                <w:sz w:val="18"/>
                <w:szCs w:val="18"/>
              </w:rPr>
              <w:t xml:space="preserve">实时监控</w:t>
            </w:r>
          </w:p>
        </w:tc>
        <w:tc>
          <w:tcPr>
            <w:tcW w:type="dxa" w:w="7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策略实时 PnL 曲线、持仓分布、订单流、风控指标仪表盘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C"/>
                <w:sz w:val="18"/>
                <w:szCs w:val="18"/>
              </w:rPr>
              <w:t xml:space="preserve">回测中心</w:t>
            </w:r>
          </w:p>
        </w:tc>
        <w:tc>
          <w:tcPr>
            <w:tcW w:type="dxa" w:w="7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回测任务提交、参数扫描配置、报告展示（收益曲线 / 回撤 / 交易明细）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C"/>
                <w:sz w:val="18"/>
                <w:szCs w:val="18"/>
              </w:rPr>
              <w:t xml:space="preserve">订单中心</w:t>
            </w:r>
          </w:p>
        </w:tc>
        <w:tc>
          <w:tcPr>
            <w:tcW w:type="dxa" w:w="7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历史订单查询、成交记录、手动下单（管理员）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C"/>
                <w:sz w:val="18"/>
                <w:szCs w:val="18"/>
              </w:rPr>
              <w:t xml:space="preserve">账户管理</w:t>
            </w:r>
          </w:p>
        </w:tc>
        <w:tc>
          <w:tcPr>
            <w:tcW w:type="dxa" w:w="7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资金曲线、资金流水、出入金记录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C"/>
                <w:sz w:val="18"/>
                <w:szCs w:val="18"/>
              </w:rPr>
              <w:t xml:space="preserve">风控配置</w:t>
            </w:r>
          </w:p>
        </w:tc>
        <w:tc>
          <w:tcPr>
            <w:tcW w:type="dxa" w:w="7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风控规则编辑、黑名单管理、告警历史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C"/>
                <w:sz w:val="18"/>
                <w:szCs w:val="18"/>
              </w:rPr>
              <w:t xml:space="preserve">用户管理</w:t>
            </w:r>
          </w:p>
        </w:tc>
        <w:tc>
          <w:tcPr>
            <w:tcW w:type="dxa" w:w="7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用户列表、角色分配、操作日志（仅 Admin）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C"/>
                <w:sz w:val="18"/>
                <w:szCs w:val="18"/>
              </w:rPr>
              <w:t xml:space="preserve">系统设置</w:t>
            </w:r>
          </w:p>
        </w:tc>
        <w:tc>
          <w:tcPr>
            <w:tcW w:type="dxa" w:w="7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Broker 配置、数据源配置、通知设置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8.2 前端性能要求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首屏加载 FCP &lt; 2s（Vite 代码分割 + CDN）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行情 K 线最多同屏展示 4 个品种，每品种 60fps 更新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订单列表支持虚拟滚动（10 万条无卡顿）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WebSocket 断线自动重连，重连间隔指数退避（1s → 2s → 4s，最大 30s）</w:t>
      </w:r>
    </w:p>
    <w:p>
      <w:r>
        <w:br w:type="page"/>
      </w:r>
    </w:p>
    <w:p>
      <w:pPr>
        <w:pStyle w:val="Heading1"/>
        <w:pBdr>
          <w:bottom w:val="single" w:color="2E86AB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九、部署与运维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9.1 环境规划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5160"/>
      </w:tblGrid>
      <w:tr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环境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配置建议</w:t>
            </w:r>
          </w:p>
        </w:tc>
        <w:tc>
          <w:tcPr>
            <w:tcW w:type="dxa" w:w="5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用途</w:t>
            </w:r>
          </w:p>
        </w:tc>
      </w:tr>
      <w:tr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C"/>
                <w:sz w:val="18"/>
                <w:szCs w:val="18"/>
              </w:rPr>
              <w:t xml:space="preserve">DEV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单机 4C8G Docker Compose</w:t>
            </w:r>
          </w:p>
        </w:tc>
        <w:tc>
          <w:tcPr>
            <w:tcW w:type="dxa" w:w="5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开发调试，模拟行情，不连真实 Broker</w:t>
            </w:r>
          </w:p>
        </w:tc>
      </w:tr>
      <w:tr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C"/>
                <w:sz w:val="18"/>
                <w:szCs w:val="18"/>
              </w:rPr>
              <w:t xml:space="preserve">TEST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2 节点 K3s，8C16G/节点</w:t>
            </w:r>
          </w:p>
        </w:tc>
        <w:tc>
          <w:tcPr>
            <w:tcW w:type="dxa" w:w="5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集成测试，仿真交易，自动化回归</w:t>
            </w:r>
          </w:p>
        </w:tc>
      </w:tr>
      <w:tr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C"/>
                <w:sz w:val="18"/>
                <w:szCs w:val="18"/>
              </w:rPr>
              <w:t xml:space="preserve">STAGING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等比缩小的生产架构</w:t>
            </w:r>
          </w:p>
        </w:tc>
        <w:tc>
          <w:tcPr>
            <w:tcW w:type="dxa" w:w="5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上线前最终验证，接真实行情（不下单）</w:t>
            </w:r>
          </w:p>
        </w:tc>
      </w:tr>
      <w:tr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C"/>
                <w:sz w:val="18"/>
                <w:szCs w:val="18"/>
              </w:rPr>
              <w:t xml:space="preserve">PROD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见下方生产规格</w:t>
            </w:r>
          </w:p>
        </w:tc>
        <w:tc>
          <w:tcPr>
            <w:tcW w:type="dxa" w:w="5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实盘运行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9.2 生产最低配置（50 并发策略）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60"/>
      </w:tblGrid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服务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规格</w:t>
            </w:r>
          </w:p>
        </w:tc>
        <w:tc>
          <w:tcPr>
            <w:tcW w:type="dxa" w:w="4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副本数 / 备注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C"/>
                <w:sz w:val="18"/>
                <w:szCs w:val="18"/>
              </w:rPr>
              <w:t xml:space="preserve">Market Data Service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4C8G</w:t>
            </w:r>
          </w:p>
        </w:tc>
        <w:tc>
          <w:tcPr>
            <w:tcW w:type="dxa" w:w="4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2 副本，Kafka 3 节点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C"/>
                <w:sz w:val="18"/>
                <w:szCs w:val="18"/>
              </w:rPr>
              <w:t xml:space="preserve">Strategy Engine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8C16G</w:t>
            </w:r>
          </w:p>
        </w:tc>
        <w:tc>
          <w:tcPr>
            <w:tcW w:type="dxa" w:w="4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3 副本（Pod 水平扩展）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C"/>
                <w:sz w:val="18"/>
                <w:szCs w:val="18"/>
              </w:rPr>
              <w:t xml:space="preserve">Order Router (Go)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4C8G</w:t>
            </w:r>
          </w:p>
        </w:tc>
        <w:tc>
          <w:tcPr>
            <w:tcW w:type="dxa" w:w="4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2 副本，主备热切换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C"/>
                <w:sz w:val="18"/>
                <w:szCs w:val="18"/>
              </w:rPr>
              <w:t xml:space="preserve">Risk Engine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4C8G</w:t>
            </w:r>
          </w:p>
        </w:tc>
        <w:tc>
          <w:tcPr>
            <w:tcW w:type="dxa" w:w="4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2 副本（Redis 共享状态）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C"/>
                <w:sz w:val="18"/>
                <w:szCs w:val="18"/>
              </w:rPr>
              <w:t xml:space="preserve">Web API (FastAPI)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4C8G</w:t>
            </w:r>
          </w:p>
        </w:tc>
        <w:tc>
          <w:tcPr>
            <w:tcW w:type="dxa" w:w="4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2 副本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C"/>
                <w:sz w:val="18"/>
                <w:szCs w:val="18"/>
              </w:rPr>
              <w:t xml:space="preserve">PostgreSQL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8C32G SSD</w:t>
            </w:r>
          </w:p>
        </w:tc>
        <w:tc>
          <w:tcPr>
            <w:tcW w:type="dxa" w:w="4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主 + 1 只读副本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C"/>
                <w:sz w:val="18"/>
                <w:szCs w:val="18"/>
              </w:rPr>
              <w:t xml:space="preserve">InfluxDB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8C32G NVMe</w:t>
            </w:r>
          </w:p>
        </w:tc>
        <w:tc>
          <w:tcPr>
            <w:tcW w:type="dxa" w:w="4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单节点，配备 WAL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C"/>
                <w:sz w:val="18"/>
                <w:szCs w:val="18"/>
              </w:rPr>
              <w:t xml:space="preserve">Redis Cluster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3 节点 4C16G each</w:t>
            </w:r>
          </w:p>
        </w:tc>
        <w:tc>
          <w:tcPr>
            <w:tcW w:type="dxa" w:w="4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哨兵模式最少要求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C"/>
                <w:sz w:val="18"/>
                <w:szCs w:val="18"/>
              </w:rPr>
              <w:t xml:space="preserve">Kafka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3 Broker 4C8G each</w:t>
            </w:r>
          </w:p>
        </w:tc>
        <w:tc>
          <w:tcPr>
            <w:tcW w:type="dxa" w:w="4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3 ZooKeeper（或 KRaft）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C"/>
                <w:sz w:val="18"/>
                <w:szCs w:val="18"/>
              </w:rPr>
              <w:t xml:space="preserve">MinIO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4C8G + 2TB 磁盘</w:t>
            </w:r>
          </w:p>
        </w:tc>
        <w:tc>
          <w:tcPr>
            <w:tcW w:type="dxa" w:w="4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分布式存储历史数据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C"/>
                <w:sz w:val="18"/>
                <w:szCs w:val="18"/>
              </w:rPr>
              <w:t xml:space="preserve">Nginx / LB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2C4G</w:t>
            </w:r>
          </w:p>
        </w:tc>
        <w:tc>
          <w:tcPr>
            <w:tcW w:type="dxa" w:w="4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主备双节点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C"/>
                <w:sz w:val="18"/>
                <w:szCs w:val="18"/>
              </w:rPr>
              <w:t xml:space="preserve">Prometheus + Grafana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4C8G</w:t>
            </w:r>
          </w:p>
        </w:tc>
        <w:tc>
          <w:tcPr>
            <w:tcW w:type="dxa" w:w="4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单节点，数据保留 90 天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9.3 监控告警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告警条件</w:t>
            </w:r>
          </w:p>
        </w:tc>
        <w:tc>
          <w:tcPr>
            <w:tcW w:type="dxa" w:w="5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级别 / 处理要求</w:t>
            </w:r>
          </w:p>
        </w:tc>
      </w:tr>
      <w:tr>
        <w:tc>
          <w:tcPr>
            <w:tcW w:type="dxa" w:w="4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Tick 处理延迟 P99 &gt; 200ms</w:t>
            </w:r>
          </w:p>
        </w:tc>
        <w:tc>
          <w:tcPr>
            <w:tcW w:type="dxa" w:w="5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P1 / 立即告警（钉钉 + 短信）</w:t>
            </w:r>
          </w:p>
        </w:tc>
      </w:tr>
      <w:tr>
        <w:tc>
          <w:tcPr>
            <w:tcW w:type="dxa" w:w="4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下单链路延迟 P99 &gt; 50ms</w:t>
            </w:r>
          </w:p>
        </w:tc>
        <w:tc>
          <w:tcPr>
            <w:tcW w:type="dxa" w:w="5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P1 / 立即告警</w:t>
            </w:r>
          </w:p>
        </w:tc>
      </w:tr>
      <w:tr>
        <w:tc>
          <w:tcPr>
            <w:tcW w:type="dxa" w:w="4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策略进程崩溃</w:t>
            </w:r>
          </w:p>
        </w:tc>
        <w:tc>
          <w:tcPr>
            <w:tcW w:type="dxa" w:w="5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P1 / 立即告警 + 自动重启</w:t>
            </w:r>
          </w:p>
        </w:tc>
      </w:tr>
      <w:tr>
        <w:tc>
          <w:tcPr>
            <w:tcW w:type="dxa" w:w="4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Broker 连接断开</w:t>
            </w:r>
          </w:p>
        </w:tc>
        <w:tc>
          <w:tcPr>
            <w:tcW w:type="dxa" w:w="5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P1 / 立即告警</w:t>
            </w:r>
          </w:p>
        </w:tc>
      </w:tr>
      <w:tr>
        <w:tc>
          <w:tcPr>
            <w:tcW w:type="dxa" w:w="4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磁盘使用率 &gt; 80%</w:t>
            </w:r>
          </w:p>
        </w:tc>
        <w:tc>
          <w:tcPr>
            <w:tcW w:type="dxa" w:w="5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P2 / 30 分钟内处理</w:t>
            </w:r>
          </w:p>
        </w:tc>
      </w:tr>
      <w:tr>
        <w:tc>
          <w:tcPr>
            <w:tcW w:type="dxa" w:w="4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策略单日亏损 &gt; 5%</w:t>
            </w:r>
          </w:p>
        </w:tc>
        <w:tc>
          <w:tcPr>
            <w:tcW w:type="dxa" w:w="5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P2 / 推送给对应交易员</w:t>
            </w:r>
          </w:p>
        </w:tc>
      </w:tr>
      <w:tr>
        <w:tc>
          <w:tcPr>
            <w:tcW w:type="dxa" w:w="4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API 错误率 &gt; 1%（5 分钟内）</w:t>
            </w:r>
          </w:p>
        </w:tc>
        <w:tc>
          <w:tcPr>
            <w:tcW w:type="dxa" w:w="5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P2 / 告警 + 查日志</w:t>
            </w:r>
          </w:p>
        </w:tc>
      </w:tr>
      <w:tr>
        <w:tc>
          <w:tcPr>
            <w:tcW w:type="dxa" w:w="4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Redis 内存使用 &gt; 70%</w:t>
            </w:r>
          </w:p>
        </w:tc>
        <w:tc>
          <w:tcPr>
            <w:tcW w:type="dxa" w:w="5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P3 / 工作时间内处理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86AB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十、开发路线图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200"/>
        <w:gridCol w:w="1600"/>
        <w:gridCol w:w="5560"/>
      </w:tblGrid>
      <w:tr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阶段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周期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主题</w:t>
            </w:r>
          </w:p>
        </w:tc>
        <w:tc>
          <w:tcPr>
            <w:tcW w:type="dxa" w:w="5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核心交付物</w:t>
            </w:r>
          </w:p>
        </w:tc>
      </w:tr>
      <w:tr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AB"/>
                <w:sz w:val="18"/>
                <w:szCs w:val="18"/>
              </w:rPr>
              <w:t xml:space="preserve">Phase 0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0~4 周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C"/>
                <w:sz w:val="18"/>
                <w:szCs w:val="18"/>
              </w:rPr>
              <w:t xml:space="preserve">基础设施</w:t>
            </w:r>
          </w:p>
        </w:tc>
        <w:tc>
          <w:tcPr>
            <w:tcW w:type="dxa" w:w="5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搭建 K8s / Kafka / PostgreSQL / InfluxDB / Redis；行情接入（聚宽仿真）；Mock Broker；CI/CD 流水线</w:t>
            </w:r>
          </w:p>
        </w:tc>
      </w:tr>
      <w:tr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AB"/>
                <w:sz w:val="18"/>
                <w:szCs w:val="18"/>
              </w:rPr>
              <w:t xml:space="preserve">Phase 1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5~10 周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C"/>
                <w:sz w:val="18"/>
                <w:szCs w:val="18"/>
              </w:rPr>
              <w:t xml:space="preserve">核心引擎</w:t>
            </w:r>
          </w:p>
        </w:tc>
        <w:tc>
          <w:tcPr>
            <w:tcW w:type="dxa" w:w="5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策略 SDK + 沙箱；回测引擎（分钟 K）；风控基础规则；REST API + JWT；前端基础框架 + 行情看板</w:t>
            </w:r>
          </w:p>
        </w:tc>
      </w:tr>
      <w:tr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AB"/>
                <w:sz w:val="18"/>
                <w:szCs w:val="18"/>
              </w:rPr>
              <w:t xml:space="preserve">Phase 2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11~16 周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C"/>
                <w:sz w:val="18"/>
                <w:szCs w:val="18"/>
              </w:rPr>
              <w:t xml:space="preserve">实盘就绪</w:t>
            </w:r>
          </w:p>
        </w:tc>
        <w:tc>
          <w:tcPr>
            <w:tcW w:type="dxa" w:w="5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接入真实 Broker（CTP / XTP）；Tick 级回测；仿真交易；WebSocket 推送；完整前端（监控 + 订单 + 账户）</w:t>
            </w:r>
          </w:p>
        </w:tc>
      </w:tr>
      <w:tr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AB"/>
                <w:sz w:val="18"/>
                <w:szCs w:val="18"/>
              </w:rPr>
              <w:t xml:space="preserve">Phase 3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17~22 周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C"/>
                <w:sz w:val="18"/>
                <w:szCs w:val="18"/>
              </w:rPr>
              <w:t xml:space="preserve">稳定性 &amp; 运维</w:t>
            </w:r>
          </w:p>
        </w:tc>
        <w:tc>
          <w:tcPr>
            <w:tcW w:type="dxa" w:w="5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全链路压测（50 并发策略）；故障演练（Chaos Engineering）；全量监控告警；用户权限完善；上线审计</w:t>
            </w:r>
          </w:p>
        </w:tc>
      </w:tr>
      <w:tr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AB"/>
                <w:sz w:val="18"/>
                <w:szCs w:val="18"/>
              </w:rPr>
              <w:t xml:space="preserve">Phase 4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23 周+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C"/>
                <w:sz w:val="18"/>
                <w:szCs w:val="18"/>
              </w:rPr>
              <w:t xml:space="preserve">进阶功能</w:t>
            </w:r>
          </w:p>
        </w:tc>
        <w:tc>
          <w:tcPr>
            <w:tcW w:type="dxa" w:w="5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参数扫描回测（并行）；因子库扩展；智能路由；TWAP/VWAP 算法单；多账户支持；港股 / 期货扩展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2E86AB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十一、关键风险与对策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800"/>
        <w:gridCol w:w="6160"/>
      </w:tblGrid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风险</w:t>
            </w:r>
          </w:p>
        </w:tc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等级</w:t>
            </w:r>
          </w:p>
        </w:tc>
        <w:tc>
          <w:tcPr>
            <w:tcW w:type="dxa" w:w="6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对策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Broker API 不稳定 / 变更</w:t>
            </w:r>
          </w:p>
        </w:tc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05A2B"/>
                <w:sz w:val="18"/>
                <w:szCs w:val="18"/>
              </w:rPr>
              <w:t xml:space="preserve">高</w:t>
            </w:r>
          </w:p>
        </w:tc>
        <w:tc>
          <w:tcPr>
            <w:tcW w:type="dxa" w:w="6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封装抽象层隔离；维护多家 Broker 备选；合同约定 SLA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实盘数据与回测偏差</w:t>
            </w:r>
          </w:p>
        </w:tc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05A2B"/>
                <w:sz w:val="18"/>
                <w:szCs w:val="18"/>
              </w:rPr>
              <w:t xml:space="preserve">高</w:t>
            </w:r>
          </w:p>
        </w:tc>
        <w:tc>
          <w:tcPr>
            <w:tcW w:type="dxa" w:w="6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Tick 级回测；严格滑点模型；上线前仿真至少 2 周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策略 Bug 导致超量下单</w:t>
            </w:r>
          </w:p>
        </w:tc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05A2B"/>
                <w:sz w:val="18"/>
                <w:szCs w:val="18"/>
              </w:rPr>
              <w:t xml:space="preserve">高</w:t>
            </w:r>
          </w:p>
        </w:tc>
        <w:tc>
          <w:tcPr>
            <w:tcW w:type="dxa" w:w="6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频率 + 金额双重限制；沙箱隔离；一键熔断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行情数据延迟 / 断流</w:t>
            </w:r>
          </w:p>
        </w:tc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1C1C"/>
                <w:sz w:val="18"/>
                <w:szCs w:val="18"/>
              </w:rPr>
              <w:t xml:space="preserve">中</w:t>
            </w:r>
          </w:p>
        </w:tc>
        <w:tc>
          <w:tcPr>
            <w:tcW w:type="dxa" w:w="6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主备数据源切换；断流后策略自动暂停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合规风险（A 股监管）</w:t>
            </w:r>
          </w:p>
        </w:tc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05A2B"/>
                <w:sz w:val="18"/>
                <w:szCs w:val="18"/>
              </w:rPr>
              <w:t xml:space="preserve">高</w:t>
            </w:r>
          </w:p>
        </w:tc>
        <w:tc>
          <w:tcPr>
            <w:tcW w:type="dxa" w:w="6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严格 T+1 / 涨跌停限制；禁止程序化操纵品种；保留 5 年审计日志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并发扩展性不足</w:t>
            </w:r>
          </w:p>
        </w:tc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1C1C"/>
                <w:sz w:val="18"/>
                <w:szCs w:val="18"/>
              </w:rPr>
              <w:t xml:space="preserve">中</w:t>
            </w:r>
          </w:p>
        </w:tc>
        <w:tc>
          <w:tcPr>
            <w:tcW w:type="dxa" w:w="6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无状态服务 + K8s HPA 水平扩展；压测验证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86AB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十二、附录：术语表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术语</w:t>
            </w:r>
          </w:p>
        </w:tc>
        <w:tc>
          <w:tcPr>
            <w:tcW w:type="dxa" w:w="7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定义</w:t>
            </w:r>
          </w:p>
        </w:tc>
      </w:tr>
      <w:t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C"/>
                <w:sz w:val="18"/>
                <w:szCs w:val="18"/>
              </w:rPr>
              <w:t xml:space="preserve">Tick</w:t>
            </w:r>
          </w:p>
        </w:tc>
        <w:tc>
          <w:tcPr>
            <w:tcW w:type="dxa" w:w="7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证券市场最小粒度的价格变化事件，包含时间戳、最新价、量、买卖一盘口等</w:t>
            </w:r>
          </w:p>
        </w:tc>
      </w:tr>
      <w:t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C"/>
                <w:sz w:val="18"/>
                <w:szCs w:val="18"/>
              </w:rPr>
              <w:t xml:space="preserve">K 线 (Bar)</w:t>
            </w:r>
          </w:p>
        </w:tc>
        <w:tc>
          <w:tcPr>
            <w:tcW w:type="dxa" w:w="7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固定时间周期内的开高低收成交量数据，如 1 分钟、日 K</w:t>
            </w:r>
          </w:p>
        </w:tc>
      </w:tr>
      <w:t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C"/>
                <w:sz w:val="18"/>
                <w:szCs w:val="18"/>
              </w:rPr>
              <w:t xml:space="preserve">策略实例</w:t>
            </w:r>
          </w:p>
        </w:tc>
        <w:tc>
          <w:tcPr>
            <w:tcW w:type="dxa" w:w="7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一段策略代码 + 一组参数的运行单元，可同时存在多个实例</w:t>
            </w:r>
          </w:p>
        </w:tc>
      </w:tr>
      <w:t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C"/>
                <w:sz w:val="18"/>
                <w:szCs w:val="18"/>
              </w:rPr>
              <w:t xml:space="preserve">仿真交易</w:t>
            </w:r>
          </w:p>
        </w:tc>
        <w:tc>
          <w:tcPr>
            <w:tcW w:type="dxa" w:w="7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接真实行情但不发真实订单，用于验证策略逻辑</w:t>
            </w:r>
          </w:p>
        </w:tc>
      </w:tr>
      <w:t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C"/>
                <w:sz w:val="18"/>
                <w:szCs w:val="18"/>
              </w:rPr>
              <w:t xml:space="preserve">滑点</w:t>
            </w:r>
          </w:p>
        </w:tc>
        <w:tc>
          <w:tcPr>
            <w:tcW w:type="dxa" w:w="7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预期成交价与实际成交价之差，回测中需模拟</w:t>
            </w:r>
          </w:p>
        </w:tc>
      </w:tr>
      <w:t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C"/>
                <w:sz w:val="18"/>
                <w:szCs w:val="18"/>
              </w:rPr>
              <w:t xml:space="preserve">夏普比率</w:t>
            </w:r>
          </w:p>
        </w:tc>
        <w:tc>
          <w:tcPr>
            <w:tcW w:type="dxa" w:w="7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超额收益 / 收益标准差，衡量风险调整后收益</w:t>
            </w:r>
          </w:p>
        </w:tc>
      </w:tr>
      <w:t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C"/>
                <w:sz w:val="18"/>
                <w:szCs w:val="18"/>
              </w:rPr>
              <w:t xml:space="preserve">最大回撤</w:t>
            </w:r>
          </w:p>
        </w:tc>
        <w:tc>
          <w:tcPr>
            <w:tcW w:type="dxa" w:w="7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历史最高净值到随后最低净值的最大跌幅，衡量策略最坏情况</w:t>
            </w:r>
          </w:p>
        </w:tc>
      </w:tr>
      <w:t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C"/>
                <w:sz w:val="18"/>
                <w:szCs w:val="18"/>
              </w:rPr>
              <w:t xml:space="preserve">CTP</w:t>
            </w:r>
          </w:p>
        </w:tc>
        <w:tc>
          <w:tcPr>
            <w:tcW w:type="dxa" w:w="7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上期技术提供的期货交易接口，国内期货公司普遍支持</w:t>
            </w:r>
          </w:p>
        </w:tc>
      </w:tr>
      <w:t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C"/>
                <w:sz w:val="18"/>
                <w:szCs w:val="18"/>
              </w:rPr>
              <w:t xml:space="preserve">VWAP</w:t>
            </w:r>
          </w:p>
        </w:tc>
        <w:tc>
          <w:tcPr>
            <w:tcW w:type="dxa" w:w="7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成交量加权平均价，常用于算法下单减少市场冲击</w:t>
            </w:r>
          </w:p>
        </w:tc>
      </w:tr>
      <w:t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C"/>
                <w:sz w:val="18"/>
                <w:szCs w:val="18"/>
              </w:rPr>
              <w:t xml:space="preserve">HPA</w:t>
            </w:r>
          </w:p>
        </w:tc>
        <w:tc>
          <w:tcPr>
            <w:tcW w:type="dxa" w:w="7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K8s Horizontal Pod Autoscaler，根据 CPU / 自定义指标自动伸缩</w:t>
            </w:r>
          </w:p>
        </w:tc>
      </w:tr>
    </w:tbl>
    <w:p>
      <w:pPr>
        <w:spacing w:after="0" w:before="400"/>
      </w:pPr>
      <w:r>
        <w:t xml:space="preserve"/>
      </w:r>
    </w:p>
    <w:p>
      <w:pPr>
        <w:pBdr>
          <w:top w:val="single" w:color="2E86AB" w:sz="4" w:space="8"/>
        </w:pBdr>
        <w:spacing w:after="0" w:before="200"/>
        <w:jc w:val="center"/>
      </w:pPr>
      <w:r>
        <w:rPr>
          <w:rFonts w:ascii="Arial" w:cs="Arial" w:eastAsia="Arial" w:hAnsi="Arial"/>
          <w:color w:val="888888"/>
          <w:sz w:val="16"/>
          <w:szCs w:val="16"/>
        </w:rPr>
        <w:t xml:space="preserve">文档结束  |  量化交易系统 PRD v1.0  |  如有修订请更新版本号并注明变更摘要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86AB" w:sz="4" w:space="4"/>
      </w:pBdr>
      <w:spacing w:after="0" w:before="80"/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第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6"/>
        <w:szCs w:val="16"/>
      </w:rPr>
      <w:t xml:space="preserve"> 页  |  机密文件，禁止外传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86AB" w:sz="4" w:space="4"/>
      </w:pBdr>
      <w:spacing w:after="80" w:before="0"/>
      <w:jc w:val="right"/>
    </w:pPr>
    <w:r>
      <w:rPr>
        <w:rFonts w:ascii="Arial" w:cs="Arial" w:eastAsia="Arial" w:hAnsi="Arial"/>
        <w:color w:val="888888"/>
        <w:sz w:val="16"/>
        <w:szCs w:val="16"/>
      </w:rPr>
      <w:t xml:space="preserve">量化交易系统 PRD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C1C1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A3C5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2E86A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A3C5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2026-05-25T01:28:16.863Z</dcterms:created>
  <dcterms:modified xsi:type="dcterms:W3CDTF">2026-05-25T01:28:16.863Z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