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results-and-discussion-具体计划书修订版"/>
    <w:p>
      <w:pPr>
        <w:pStyle w:val="1"/>
      </w:pPr>
      <w:r>
        <w:t xml:space="preserve">Results and Discussion 具体计划书（修订版）</w:t>
      </w:r>
    </w:p>
    <w:p>
      <w:pPr>
        <w:pStyle w:val="FirstParagraph"/>
      </w:pPr>
      <w:r>
        <w:t xml:space="preserve">日期：2026-08-09</w:t>
      </w:r>
      <w:r>
        <w:br/>
      </w:r>
      <w:r>
        <w:t xml:space="preserve">依据：最新版</w:t>
      </w:r>
      <w:r>
        <w:t xml:space="preserve"> </w:t>
      </w:r>
      <w:r>
        <w:rPr>
          <w:rStyle w:val="VerbatimChar"/>
        </w:rPr>
        <w:t xml:space="preserve">final.md</w:t>
      </w:r>
      <w:r>
        <w:t xml:space="preserve"> </w:t>
      </w:r>
      <w:r>
        <w:t xml:space="preserve">的 RQ 与 Method、正式数据目录、</w:t>
      </w:r>
      <w:r>
        <w:rPr>
          <w:rStyle w:val="VerbatimChar"/>
        </w:rPr>
        <w:t xml:space="preserve">docs/results_data_inventory_20260809.md</w:t>
      </w:r>
      <w:r>
        <w:t xml:space="preserve"> </w:t>
      </w:r>
      <w:r>
        <w:t xml:space="preserve">及现有</w:t>
      </w:r>
      <w:r>
        <w:t xml:space="preserve"> </w:t>
      </w:r>
      <w:r>
        <w:rPr>
          <w:rStyle w:val="VerbatimChar"/>
        </w:rPr>
        <w:t xml:space="preserve">refit_v02</w:t>
      </w:r>
      <w:r>
        <w:t xml:space="preserve"> </w:t>
      </w:r>
      <w:r>
        <w:t xml:space="preserve">输出。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核心分析单位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正式数据状态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英文三模型比较与 GPT-4.1 三语言比较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 task run；每个 model--language--task--condition cell 为20个有效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1,200个去重有效 task runs 已完成采集；部分 processed analyses 尚待生成</w:t>
            </w:r>
          </w:p>
        </w:tc>
      </w:tr>
    </w:tbl>
    <w:bookmarkStart w:id="20" w:name="当前分析就绪状态"/>
    <w:p>
      <w:pPr>
        <w:pStyle w:val="21"/>
      </w:pPr>
      <w:r>
        <w:t xml:space="preserve">当前分析就绪状态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分析模块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写作许可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英文三模型 RQ1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refit_v02</w:t>
            </w:r>
            <w:r>
              <w:t xml:space="preserve"> </w:t>
            </w:r>
            <w:r>
              <w:t xml:space="preserve">outputs 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可在冻结来源后起草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GPT-4.1 与 GPT-5.4 的现有方向需统一；Mini−GPT-5.4 直接联合 bootstrap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不可定稿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中文与西班牙语 raw runs 完整；processed multilingual outputs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不可写数值结论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英文 cell-level long table 可用；权威 change table 与非英文 outputs 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仅可搭结构，不可定稿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正式 refit diagnostics 与 shrinkage sensitivity 尚待完成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不可写稳健性结论</w:t>
            </w:r>
          </w:p>
        </w:tc>
      </w:tr>
    </w:tbl>
    <w:bookmarkEnd w:id="20"/>
    <w:bookmarkStart w:id="21" w:name="X73bec663a048e25b005069319c9460f4086abd0"/>
    <w:p>
      <w:pPr>
        <w:pStyle w:val="21"/>
      </w:pPr>
      <w:r>
        <w:t xml:space="preserve">1. 核心修正</w:t>
      </w:r>
    </w:p>
    <w:p>
      <w:pPr>
        <w:numPr>
          <w:ilvl w:val="0"/>
          <w:numId w:val="1001"/>
        </w:numPr>
        <w:pStyle w:val="Compact"/>
      </w:pPr>
      <w:r>
        <w:t xml:space="preserve">RQ1 不限于英文。它包括每个 model--language 内 manipulated condition 相对 Neutral 的 prompt effects；因此除英文三模型外，还必须纳入 GPT-4.1 中文和西班牙语 within-language effects。RQ3 只比较语言之间的 Neutral baseline differences 和 language-by-prompt differences。</w:t>
      </w:r>
    </w:p>
    <w:p>
      <w:pPr>
        <w:numPr>
          <w:ilvl w:val="0"/>
          <w:numId w:val="1001"/>
        </w:numPr>
        <w:pStyle w:val="Compact"/>
      </w:pPr>
      <w:r>
        <w:t xml:space="preserve">RQ2 必须以 GPT-5.4 为共同参照，直接估计</w:t>
      </w:r>
      <w:r>
        <w:t xml:space="preserve"> </w:t>
      </w:r>
      <w:r>
        <w:rPr>
          <w:rStyle w:val="VerbatimChar"/>
        </w:rPr>
        <w:t xml:space="preserve">GPT-4.1 - GPT-5.4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GPT-5.4 Mini - GPT-5.4</w:t>
      </w:r>
      <w:r>
        <w:t xml:space="preserve">。现有 Mini−GPT-4.1 文件不能替代后者，两个独立区间也不能相减拼接。</w:t>
      </w:r>
    </w:p>
    <w:p>
      <w:pPr>
        <w:numPr>
          <w:ilvl w:val="0"/>
          <w:numId w:val="1001"/>
        </w:numPr>
        <w:pStyle w:val="Compact"/>
      </w:pPr>
      <w:r>
        <w:t xml:space="preserve">RQ4 保持 supplementary/descriptive 定位，只报告 point estimates。术语统一为</w:t>
      </w:r>
      <w:r>
        <w:t xml:space="preserve"> </w:t>
      </w:r>
      <w:r>
        <w:rPr>
          <w:rStyle w:val="VerbatimChar"/>
        </w:rPr>
        <w:t xml:space="preserve">signed human-SD-scaled mean deviation</w:t>
      </w:r>
      <w:r>
        <w:t xml:space="preserve">、</w:t>
      </w:r>
      <w:r>
        <w:rPr>
          <w:rStyle w:val="VerbatimChar"/>
        </w:rPr>
        <w:t xml:space="preserve">absolute human-SD-scaled mean deviation</w:t>
      </w:r>
      <w:r>
        <w:t xml:space="preserve">、empirical interval coverage、(\Delta^{abs}) 和 (\Delta C)。</w:t>
      </w:r>
    </w:p>
    <w:p>
      <w:pPr>
        <w:numPr>
          <w:ilvl w:val="0"/>
          <w:numId w:val="1001"/>
        </w:numPr>
        <w:pStyle w:val="Compact"/>
      </w:pPr>
      <w:r>
        <w:t xml:space="preserve">PSI 只作补充性同任务多指标摘要，不作为主要结果、能力指标或模型排名。</w:t>
      </w:r>
    </w:p>
    <w:p>
      <w:pPr>
        <w:numPr>
          <w:ilvl w:val="0"/>
          <w:numId w:val="1001"/>
        </w:numPr>
        <w:pStyle w:val="Compact"/>
      </w:pPr>
      <w:r>
        <w:t xml:space="preserve">Random exploration 是 hierarchical model-derived、partially pooled estimate。必须单独报告 refit success、failed fits 和 shrinkage sensitivity，不能按普通直接观察比例处理。</w:t>
      </w:r>
    </w:p>
    <w:p>
      <w:pPr>
        <w:numPr>
          <w:ilvl w:val="0"/>
          <w:numId w:val="1001"/>
        </w:numPr>
        <w:pStyle w:val="Compact"/>
      </w:pPr>
      <w:r>
        <w:t xml:space="preserve">Table 1 只报告样本流与技术质量；Random-exploration 详细诊断移入附录。</w:t>
      </w:r>
    </w:p>
    <w:bookmarkEnd w:id="21"/>
    <w:bookmarkStart w:id="25" w:name="Xd1f37293aedada5ca3605f691822b307494ebca"/>
    <w:p>
      <w:pPr>
        <w:pStyle w:val="21"/>
      </w:pPr>
      <w:r>
        <w:t xml:space="preserve">2. 写作前必须完成的分析</w:t>
      </w:r>
    </w:p>
    <w:bookmarkStart w:id="22" w:name="p0阻塞-results-定稿"/>
    <w:p>
      <w:pPr>
        <w:pStyle w:val="31"/>
      </w:pPr>
      <w:r>
        <w:t xml:space="preserve">P0：阻塞 Results 定稿</w:t>
      </w:r>
    </w:p>
    <w:p>
      <w:pPr>
        <w:numPr>
          <w:ilvl w:val="0"/>
          <w:numId w:val="1002"/>
        </w:numPr>
        <w:pStyle w:val="Compact"/>
      </w:pPr>
      <w:r>
        <w:t xml:space="preserve">冻结三语言 run-level 汇总。</w:t>
      </w:r>
    </w:p>
    <w:p>
      <w:pPr>
        <w:numPr>
          <w:ilvl w:val="1"/>
          <w:numId w:val="1003"/>
        </w:numPr>
        <w:pStyle w:val="Compact"/>
      </w:pPr>
      <w:r>
        <w:t xml:space="preserve">英文输入：</w:t>
      </w:r>
      <w:r>
        <w:rPr>
          <w:rStyle w:val="VerbatimChar"/>
        </w:rPr>
        <w:t xml:space="preserve">E:\UoE\IPP\project\outputs\processed\formal_v01\llm_run_metrics.csv</w:t>
      </w:r>
    </w:p>
    <w:p>
      <w:pPr>
        <w:numPr>
          <w:ilvl w:val="1"/>
          <w:numId w:val="1003"/>
        </w:numPr>
        <w:pStyle w:val="Compact"/>
      </w:pPr>
      <w:r>
        <w:t xml:space="preserve">中文 raw：</w:t>
      </w:r>
      <w:r>
        <w:rPr>
          <w:rStyle w:val="VerbatimChar"/>
        </w:rPr>
        <w:t xml:space="preserve">E:\UoE\IPP\project\outputs\formal_multilingual_v01\gpt-4.1-zh-CN-20run-v01</w:t>
      </w:r>
    </w:p>
    <w:p>
      <w:pPr>
        <w:numPr>
          <w:ilvl w:val="1"/>
          <w:numId w:val="1003"/>
        </w:numPr>
        <w:pStyle w:val="Compact"/>
      </w:pPr>
      <w:r>
        <w:t xml:space="preserve">西班牙语 raw：</w:t>
      </w:r>
      <w:r>
        <w:rPr>
          <w:rStyle w:val="VerbatimChar"/>
        </w:rPr>
        <w:t xml:space="preserve">E:\UoE\IPP\project\outputs\formal_multilingual_v01\gpt-4.1-es-20run-v01</w:t>
      </w:r>
    </w:p>
    <w:p>
      <w:pPr>
        <w:numPr>
          <w:ilvl w:val="1"/>
          <w:numId w:val="1003"/>
        </w:numPr>
        <w:pStyle w:val="Compact"/>
      </w:pPr>
      <w:r>
        <w:t xml:space="preserve">使用修正后的 Horizon tie-exclusion rule；确认每个 language--task--condition cell 为20个有效 runs。</w:t>
      </w:r>
    </w:p>
    <w:p>
      <w:pPr>
        <w:numPr>
          <w:ilvl w:val="0"/>
          <w:numId w:val="1002"/>
        </w:numPr>
        <w:pStyle w:val="Compact"/>
      </w:pPr>
      <w:r>
        <w:t xml:space="preserve">生成中文和西班牙语的</w:t>
      </w:r>
      <w:r>
        <w:t xml:space="preserve"> </w:t>
      </w:r>
      <w:r>
        <w:rPr>
          <w:rStyle w:val="VerbatimChar"/>
        </w:rPr>
        <w:t xml:space="preserve">metric_summary.csv</w:t>
      </w:r>
      <w:r>
        <w:t xml:space="preserve">、</w:t>
      </w:r>
      <w:r>
        <w:rPr>
          <w:rStyle w:val="VerbatimChar"/>
        </w:rPr>
        <w:t xml:space="preserve">prompt_effects.csv</w:t>
      </w:r>
      <w:r>
        <w:t xml:space="preserve">、</w:t>
      </w:r>
      <w:r>
        <w:rPr>
          <w:rStyle w:val="VerbatimChar"/>
        </w:rPr>
        <w:t xml:space="preserve">prompt_sensitivity.csv</w:t>
      </w:r>
      <w:r>
        <w:t xml:space="preserve"> </w:t>
      </w:r>
      <w:r>
        <w:t xml:space="preserve">与质量报告，完成 RQ1。</w:t>
      </w:r>
    </w:p>
    <w:p>
      <w:pPr>
        <w:numPr>
          <w:ilvl w:val="0"/>
          <w:numId w:val="1002"/>
        </w:numPr>
        <w:pStyle w:val="Compact"/>
      </w:pPr>
      <w:r>
        <w:t xml:space="preserve">以 GPT-5.4 为共同参照直接联合 bootstrap，生成两组 RQ2 contrasts。</w:t>
      </w:r>
    </w:p>
    <w:p>
      <w:pPr>
        <w:numPr>
          <w:ilvl w:val="0"/>
          <w:numId w:val="1002"/>
        </w:numPr>
        <w:pStyle w:val="Compact"/>
      </w:pPr>
      <w:r>
        <w:t xml:space="preserve">生成 RQ3 的16项 Neutral-baseline language contrasts、48项 language-by-prompt contrasts，以及 valid/failed bootstrap diagnostics。</w:t>
      </w:r>
    </w:p>
    <w:p>
      <w:pPr>
        <w:numPr>
          <w:ilvl w:val="0"/>
          <w:numId w:val="1002"/>
        </w:numPr>
        <w:pStyle w:val="Compact"/>
      </w:pPr>
      <w:r>
        <w:t xml:space="preserve">完成 Random exploration 的 SD=0.5 正式拟合和 SD=0.25、1.0 sensitivity；保存 condition estimates、partially pooled run estimates、optimizer status、requested/valid/failed refits。</w:t>
      </w:r>
    </w:p>
    <w:p>
      <w:pPr>
        <w:numPr>
          <w:ilvl w:val="0"/>
          <w:numId w:val="1002"/>
        </w:numPr>
        <w:pStyle w:val="Compact"/>
      </w:pPr>
      <w:r>
        <w:t xml:space="preserve">在 RQ4 前验证 human 与 LLM Random exploration 的 choice model、编码、H1/H6 方向、priors、MAP optimizer、partial-pooling level 和 shrinkage grid 完全一致；若不能对齐，则从正式 human-SD-scaled comparison 中排除或降为不可直接比较的 exploratory result。</w:t>
      </w:r>
    </w:p>
    <w:p>
      <w:pPr>
        <w:numPr>
          <w:ilvl w:val="0"/>
          <w:numId w:val="1002"/>
        </w:numPr>
        <w:pStyle w:val="Compact"/>
      </w:pPr>
      <w:r>
        <w:t xml:space="preserve">从最新英文 long table生成权威 (\Delta^{abs})/(\Delta C) 表，并生成中文、西班牙语 human-reference outputs。</w:t>
      </w:r>
    </w:p>
    <w:p>
      <w:pPr>
        <w:numPr>
          <w:ilvl w:val="0"/>
          <w:numId w:val="1002"/>
        </w:numPr>
        <w:pStyle w:val="Compact"/>
      </w:pPr>
      <w:r>
        <w:t xml:space="preserve">冻结统一结果包：manifest、source hashes、分析版本、quality summary、逐RQ完成清单和表图输入。</w:t>
      </w:r>
    </w:p>
    <w:bookmarkEnd w:id="22"/>
    <w:bookmarkStart w:id="23" w:name="统一-bootstrap-重采样规则"/>
    <w:p>
      <w:pPr>
        <w:pStyle w:val="31"/>
      </w:pPr>
      <w:r>
        <w:t xml:space="preserve">统一 bootstrap 重采样规则</w:t>
      </w:r>
    </w:p>
    <w:p>
      <w:pPr>
        <w:numPr>
          <w:ilvl w:val="0"/>
          <w:numId w:val="1004"/>
        </w:numPr>
        <w:pStyle w:val="Compact"/>
      </w:pPr>
      <w:r>
        <w:t xml:space="preserve">所有主要 prompt effects、Hedges' (g)、model-by-prompt contrasts、language baseline contrasts、language-by-prompt contrasts 和 PSI 使用2,000次 percentile-bootstrap replicates；固定 bootstrap seed 为20260615。</w:t>
      </w:r>
    </w:p>
    <w:p>
      <w:pPr>
        <w:numPr>
          <w:ilvl w:val="0"/>
          <w:numId w:val="1004"/>
        </w:numPr>
        <w:pStyle w:val="Compact"/>
      </w:pPr>
      <w:r>
        <w:t xml:space="preserve">Horizon Task 与 BART 按 matched task-environment seed blocks 联合重采样，保留被比较的 model--prompt 或 language--prompt cells 之间共享的环境结构。</w:t>
      </w:r>
    </w:p>
    <w:p>
      <w:pPr>
        <w:numPr>
          <w:ilvl w:val="0"/>
          <w:numId w:val="1004"/>
        </w:numPr>
        <w:pStyle w:val="Compact"/>
      </w:pPr>
      <w:r>
        <w:t xml:space="preserve">IGT 的 payoff schedule 固定，同一 seed 不构成可用于配对的共同随机环境；因此在每个相关 cell 内独立重采样完整 runs。</w:t>
      </w:r>
    </w:p>
    <w:p>
      <w:pPr>
        <w:numPr>
          <w:ilvl w:val="0"/>
          <w:numId w:val="1004"/>
        </w:numPr>
        <w:pStyle w:val="Compact"/>
      </w:pPr>
      <w:r>
        <w:t xml:space="preserve">Model-by-prompt 和 language-by-prompt contrasts 必须在同一个 bootstrap replicate 内，从该 replicate 的全部相关 cells 联合计算；不得用两个独立区间相减构造 interaction interval。</w:t>
      </w:r>
    </w:p>
    <w:p>
      <w:pPr>
        <w:numPr>
          <w:ilvl w:val="0"/>
          <w:numId w:val="1004"/>
        </w:numPr>
        <w:pStyle w:val="Compact"/>
      </w:pPr>
      <w:r>
        <w:t xml:space="preserve">Horizon Random exploration 在每个相关 replicate 中以完整 run 为 cluster 重新拟合层级 logistic choice model；不得直接重采样最终拟合产生的固定 estimates。</w:t>
      </w:r>
    </w:p>
    <w:p>
      <w:pPr>
        <w:numPr>
          <w:ilvl w:val="0"/>
          <w:numId w:val="1004"/>
        </w:numPr>
        <w:pStyle w:val="Compact"/>
      </w:pPr>
      <w:r>
        <w:t xml:space="preserve">每项输出记录 requested、valid 和 failed replicates；percentile 95% CI 由有效 replicate estimates 的第2.5和第97.5百分位数构成。对每个拟报告 interval 分别计算 (p_{\mathrm{valid}}=B_{\mathrm{valid}}/B_{\mathrm{requested}})：(p_{\mathrm{valid}}\geq0.95) 时正式报告；(0.90\leq p_{\mathrm{valid}}&lt;0.95) 时报告并添加稳定性警告、检查失败机制；(p_{\mathrm{valid}}&lt;0.90) 时不作为正式区间。不得依据已观察区间选择性追加 replicates。</w:t>
      </w:r>
    </w:p>
    <w:bookmarkEnd w:id="23"/>
    <w:bookmarkStart w:id="24" w:name="p1提交前完成"/>
    <w:p>
      <w:pPr>
        <w:pStyle w:val="31"/>
      </w:pPr>
      <w:r>
        <w:t xml:space="preserve">P1：提交前完成</w:t>
      </w:r>
    </w:p>
    <w:p>
      <w:pPr>
        <w:numPr>
          <w:ilvl w:val="0"/>
          <w:numId w:val="1005"/>
        </w:numPr>
        <w:pStyle w:val="Compact"/>
      </w:pPr>
      <w:r>
        <w:t xml:space="preserve">low-/zero-variance cell audit；</w:t>
      </w:r>
    </w:p>
    <w:p>
      <w:pPr>
        <w:numPr>
          <w:ilvl w:val="0"/>
          <w:numId w:val="1005"/>
        </w:numPr>
        <w:pStyle w:val="Compact"/>
      </w:pPr>
      <w:r>
        <w:t xml:space="preserve">BART post-explosion eligible (n)；</w:t>
      </w:r>
    </w:p>
    <w:p>
      <w:pPr>
        <w:numPr>
          <w:ilvl w:val="0"/>
          <w:numId w:val="1005"/>
        </w:numPr>
        <w:pStyle w:val="Compact"/>
      </w:pPr>
      <w:r>
        <w:t xml:space="preserve">GPT-5.4 Mini parser retry 披露；</w:t>
      </w:r>
    </w:p>
    <w:p>
      <w:pPr>
        <w:numPr>
          <w:ilvl w:val="0"/>
          <w:numId w:val="1005"/>
        </w:numPr>
        <w:pStyle w:val="Compact"/>
      </w:pPr>
      <w:r>
        <w:t xml:space="preserve">standardised-effect valid replicate 数；</w:t>
      </w:r>
    </w:p>
    <w:p>
      <w:pPr>
        <w:numPr>
          <w:ilvl w:val="0"/>
          <w:numId w:val="1005"/>
        </w:numPr>
        <w:pStyle w:val="Compact"/>
      </w:pPr>
      <w:r>
        <w:t xml:space="preserve">图表与源 CSV 的自动核对；</w:t>
      </w:r>
    </w:p>
    <w:p>
      <w:pPr>
        <w:numPr>
          <w:ilvl w:val="0"/>
          <w:numId w:val="1005"/>
        </w:numPr>
        <w:pStyle w:val="Compact"/>
      </w:pPr>
      <w:r>
        <w:t xml:space="preserve">appendix diagnostics 和完整 cell descriptives。</w:t>
      </w:r>
    </w:p>
    <w:bookmarkEnd w:id="24"/>
    <w:bookmarkEnd w:id="25"/>
    <w:bookmarkStart w:id="26" w:name="主要行为指标与分析单位"/>
    <w:p>
      <w:pPr>
        <w:pStyle w:val="21"/>
      </w:pPr>
      <w:r>
        <w:t xml:space="preserve">主要行为指标与分析单位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正文指标名称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操作性含义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分析单位与解释边界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Information-seeking choice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不等信息条件下第一次自由选择时选择较少观察选项的比例；代码字段为</w:t>
            </w:r>
            <w:r>
              <w:t xml:space="preserve"> </w:t>
            </w:r>
            <w:r>
              <w:rPr>
                <w:rStyle w:val="VerbatimChar"/>
              </w:rPr>
              <w:t xml:space="preserve">directed_exploration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直接计算的 run-level summary；不等同于经典 horizon-dependent directed exploration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Horizon-related exploration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每局仅使用第一次自由选择；在 equal- 与 unequal-information games 中，将选择该次选择前观察均值较低的选项记为 exploratory choice；观察均值相等的 choices 从分子和分母中排除；分别计算 H6 与 H1 的 eligible-choice proportions，并取 H6−H1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直接计算的 run-level summary；正值表示 H6 下这种 value-based exploratory choice 比例较高；不是 information-seeking choice rate 的 horizon difference；某一 horizon 无 eligible choice 时该 run 的指标不可计算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exploration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H6 与 H1 的估计 choice variability 之差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层级 choice model 产生的 condition-level 与 partially pooled run estimates；正值仅表示 H6 的估计 choice variability 更高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Advantageous choice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C/D 牌组选择比例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直接计算的 run-level summary；描述长期选择分配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Post-loss switching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loss component 小于0后，下一 trial 更换牌组的比例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直接计算的 run-level summary；较高值不自动代表更好的学习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average pumps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未爆炸气球的平均 pumps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直接计算的 run-level summary；不作为单一规范性风险指标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Explosion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爆炸气球比例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直接计算的 run-level summary；同时受选择和任务随机结果影响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Post-explosion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爆炸后下一气球 pumps 相对前一气球的变化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仅在存在 eligible transition 时计算；描述反馈后的行为调整</w:t>
            </w:r>
          </w:p>
        </w:tc>
      </w:tr>
    </w:tbl>
    <w:bookmarkEnd w:id="26"/>
    <w:bookmarkStart w:id="29" w:name="X201321550057c11e5902020f4dcd616ea38aa9a"/>
    <w:p>
      <w:pPr>
        <w:pStyle w:val="21"/>
      </w:pPr>
      <w:r>
        <w:t xml:space="preserve">3. 最终章节树</w:t>
      </w:r>
    </w:p>
    <w:bookmarkStart w:id="27" w:name="results"/>
    <w:p>
      <w:pPr>
        <w:pStyle w:val="31"/>
      </w:pPr>
      <w:r>
        <w:t xml:space="preserve">Results</w:t>
      </w:r>
    </w:p>
    <w:p>
      <w:pPr>
        <w:numPr>
          <w:ilvl w:val="0"/>
          <w:numId w:val="1006"/>
        </w:numPr>
        <w:pStyle w:val="Compact"/>
      </w:pPr>
      <w:r>
        <w:t xml:space="preserve">Analysis Sample and Technical Quality</w:t>
      </w:r>
    </w:p>
    <w:p>
      <w:pPr>
        <w:numPr>
          <w:ilvl w:val="0"/>
          <w:numId w:val="1006"/>
        </w:numPr>
        <w:pStyle w:val="Compact"/>
      </w:pPr>
      <w:r>
        <w:t xml:space="preserve">RQ1 -- Within-Model Prompt Sensitivity</w:t>
      </w:r>
    </w:p>
    <w:p>
      <w:pPr>
        <w:numPr>
          <w:ilvl w:val="1"/>
          <w:numId w:val="1007"/>
        </w:numPr>
        <w:pStyle w:val="Compact"/>
      </w:pPr>
      <w:r>
        <w:t xml:space="preserve">English comparison across three models</w:t>
      </w:r>
    </w:p>
    <w:p>
      <w:pPr>
        <w:numPr>
          <w:ilvl w:val="1"/>
          <w:numId w:val="1007"/>
        </w:numPr>
        <w:pStyle w:val="Compact"/>
      </w:pPr>
      <w:r>
        <w:t xml:space="preserve">GPT-4.1 within-language effects in English, Chinese and Spanish</w:t>
      </w:r>
    </w:p>
    <w:p>
      <w:pPr>
        <w:numPr>
          <w:ilvl w:val="1"/>
          <w:numId w:val="1007"/>
        </w:numPr>
        <w:pStyle w:val="Compact"/>
      </w:pPr>
      <w:r>
        <w:t xml:space="preserve">Supplementary PSI pattern</w:t>
      </w:r>
    </w:p>
    <w:p>
      <w:pPr>
        <w:numPr>
          <w:ilvl w:val="0"/>
          <w:numId w:val="1006"/>
        </w:numPr>
        <w:pStyle w:val="Compact"/>
      </w:pPr>
      <w:r>
        <w:t xml:space="preserve">RQ2 -- Cross-Model Variation in Prompt Effects</w:t>
      </w:r>
    </w:p>
    <w:p>
      <w:pPr>
        <w:numPr>
          <w:ilvl w:val="0"/>
          <w:numId w:val="1006"/>
        </w:numPr>
        <w:pStyle w:val="Compact"/>
      </w:pPr>
      <w:r>
        <w:t xml:space="preserve">RQ3 -- Cross-Language Variation</w:t>
      </w:r>
    </w:p>
    <w:p>
      <w:pPr>
        <w:numPr>
          <w:ilvl w:val="1"/>
          <w:numId w:val="1008"/>
        </w:numPr>
        <w:pStyle w:val="Compact"/>
      </w:pPr>
      <w:r>
        <w:t xml:space="preserve">Neutral-baseline language contrasts</w:t>
      </w:r>
    </w:p>
    <w:p>
      <w:pPr>
        <w:numPr>
          <w:ilvl w:val="1"/>
          <w:numId w:val="1008"/>
        </w:numPr>
        <w:pStyle w:val="Compact"/>
      </w:pPr>
      <w:r>
        <w:t xml:space="preserve">Language-by-prompt interaction contrasts</w:t>
      </w:r>
    </w:p>
    <w:p>
      <w:pPr>
        <w:numPr>
          <w:ilvl w:val="0"/>
          <w:numId w:val="1006"/>
        </w:numPr>
        <w:pStyle w:val="Compact"/>
      </w:pPr>
      <w:r>
        <w:t xml:space="preserve">RQ4 -- Descriptive Human-Reference Sensitivity</w:t>
      </w:r>
    </w:p>
    <w:p>
      <w:pPr>
        <w:numPr>
          <w:ilvl w:val="1"/>
          <w:numId w:val="1009"/>
        </w:numPr>
        <w:pStyle w:val="Compact"/>
      </w:pPr>
      <w:r>
        <w:t xml:space="preserve">Baseline human-relative position</w:t>
      </w:r>
    </w:p>
    <w:p>
      <w:pPr>
        <w:numPr>
          <w:ilvl w:val="1"/>
          <w:numId w:val="1009"/>
        </w:numPr>
        <w:pStyle w:val="Compact"/>
      </w:pPr>
      <w:r>
        <w:t xml:space="preserve">Changes in absolute human-SD-scaled deviation</w:t>
      </w:r>
    </w:p>
    <w:p>
      <w:pPr>
        <w:numPr>
          <w:ilvl w:val="1"/>
          <w:numId w:val="1009"/>
        </w:numPr>
        <w:pStyle w:val="Compact"/>
      </w:pPr>
      <w:r>
        <w:t xml:space="preserve">Changes in empirical coverage</w:t>
      </w:r>
    </w:p>
    <w:p>
      <w:pPr>
        <w:numPr>
          <w:ilvl w:val="0"/>
          <w:numId w:val="1006"/>
        </w:numPr>
        <w:pStyle w:val="Compact"/>
      </w:pPr>
      <w:r>
        <w:t xml:space="preserve">Robustness and Diagnostic Checks</w:t>
      </w:r>
    </w:p>
    <w:p>
      <w:pPr>
        <w:numPr>
          <w:ilvl w:val="0"/>
          <w:numId w:val="1006"/>
        </w:numPr>
        <w:pStyle w:val="Compact"/>
      </w:pPr>
      <w:r>
        <w:t xml:space="preserve">Descriptive Synthesis</w:t>
      </w:r>
    </w:p>
    <w:bookmarkEnd w:id="27"/>
    <w:bookmarkStart w:id="28" w:name="discussion"/>
    <w:p>
      <w:pPr>
        <w:pStyle w:val="31"/>
      </w:pPr>
      <w:r>
        <w:t xml:space="preserve">Discussion</w:t>
      </w:r>
    </w:p>
    <w:p>
      <w:pPr>
        <w:numPr>
          <w:ilvl w:val="0"/>
          <w:numId w:val="1010"/>
        </w:numPr>
        <w:pStyle w:val="Compact"/>
      </w:pPr>
      <w:r>
        <w:t xml:space="preserve">Principal Findings</w:t>
      </w:r>
    </w:p>
    <w:p>
      <w:pPr>
        <w:numPr>
          <w:ilvl w:val="0"/>
          <w:numId w:val="1010"/>
        </w:numPr>
        <w:pStyle w:val="Compact"/>
      </w:pPr>
      <w:r>
        <w:t xml:space="preserve">Prompt Formulation and Model/Language Variation</w:t>
      </w:r>
    </w:p>
    <w:p>
      <w:pPr>
        <w:numPr>
          <w:ilvl w:val="0"/>
          <w:numId w:val="1010"/>
        </w:numPr>
        <w:pStyle w:val="Compact"/>
      </w:pPr>
      <w:r>
        <w:t xml:space="preserve">Task-Specific Interpretation</w:t>
      </w:r>
    </w:p>
    <w:p>
      <w:pPr>
        <w:numPr>
          <w:ilvl w:val="0"/>
          <w:numId w:val="1010"/>
        </w:numPr>
        <w:pStyle w:val="Compact"/>
      </w:pPr>
      <w:r>
        <w:t xml:space="preserve">Human-Reference Interpretation</w:t>
      </w:r>
    </w:p>
    <w:p>
      <w:pPr>
        <w:numPr>
          <w:ilvl w:val="0"/>
          <w:numId w:val="1010"/>
        </w:numPr>
        <w:pStyle w:val="Compact"/>
      </w:pPr>
      <w:r>
        <w:t xml:space="preserve">Reliability, Limitations and Generalisability</w:t>
      </w:r>
    </w:p>
    <w:p>
      <w:pPr>
        <w:numPr>
          <w:ilvl w:val="0"/>
          <w:numId w:val="1010"/>
        </w:numPr>
        <w:pStyle w:val="Compact"/>
      </w:pPr>
      <w:r>
        <w:t xml:space="preserve">Future Work and Conclusion</w:t>
      </w:r>
    </w:p>
    <w:bookmarkEnd w:id="28"/>
    <w:bookmarkEnd w:id="29"/>
    <w:bookmarkStart w:id="37" w:name="X7ad465d552a5ad1375a9c325addea11d3f8ab97"/>
    <w:p>
      <w:pPr>
        <w:pStyle w:val="21"/>
      </w:pPr>
      <w:r>
        <w:t xml:space="preserve">4. 各 Results 小节的执行规格</w:t>
      </w:r>
    </w:p>
    <w:bookmarkStart w:id="30" w:name="Xccde420f71a407deedd88732bbbc63916e0f24b"/>
    <w:p>
      <w:pPr>
        <w:pStyle w:val="31"/>
      </w:pPr>
      <w:r>
        <w:t xml:space="preserve">4.1 Analysis Sample and Technical Quality</w:t>
      </w:r>
    </w:p>
    <w:p>
      <w:pPr>
        <w:numPr>
          <w:ilvl w:val="0"/>
          <w:numId w:val="1011"/>
        </w:numPr>
        <w:pStyle w:val="Compact"/>
      </w:pPr>
      <w:r>
        <w:t xml:space="preserve">输入：最终三模型/三语言 run metrics、aggregation reports、run logs、Mini retry record、BART eligibility。</w:t>
      </w:r>
    </w:p>
    <w:p>
      <w:pPr>
        <w:numPr>
          <w:ilvl w:val="0"/>
          <w:numId w:val="1011"/>
        </w:numPr>
        <w:pStyle w:val="Compact"/>
      </w:pPr>
      <w:r>
        <w:t xml:space="preserve">主文 Table 1：planned、valid、technical failures、repaired、每cell (n)。</w:t>
      </w:r>
    </w:p>
    <w:p>
      <w:pPr>
        <w:numPr>
          <w:ilvl w:val="0"/>
          <w:numId w:val="1011"/>
        </w:numPr>
        <w:pStyle w:val="Compact"/>
      </w:pPr>
      <w:r>
        <w:t xml:space="preserve">段落：总样本与共享英文计数；cell completeness；invalid/repair；BART eligibility；RE拟合质量一句总结。</w:t>
      </w:r>
    </w:p>
    <w:p>
      <w:pPr>
        <w:numPr>
          <w:ilvl w:val="0"/>
          <w:numId w:val="1011"/>
        </w:numPr>
        <w:pStyle w:val="Compact"/>
      </w:pPr>
      <w:r>
        <w:t xml:space="preserve">完成标准：1,200个 runs 的去重逻辑可复核；英文 GPT-4.1 只计一次；不把技术有效性称为行为可靠性。</w:t>
      </w:r>
    </w:p>
    <w:bookmarkEnd w:id="30"/>
    <w:bookmarkStart w:id="31" w:name="Xa6b9bb6565636b893a6f2f926419cb71bafddb9"/>
    <w:p>
      <w:pPr>
        <w:pStyle w:val="31"/>
      </w:pPr>
      <w:r>
        <w:t xml:space="preserve">4.2 RQ1</w:t>
      </w:r>
    </w:p>
    <w:p>
      <w:pPr>
        <w:pStyle w:val="FirstParagraph"/>
      </w:pPr>
      <w:r>
        <w:t xml:space="preserve">主要 estimand：</w:t>
      </w:r>
    </w:p>
    <w:p>
      <w:pPr>
        <w:pStyle w:val="af"/>
      </w:pPr>
      <w:r>
        <w:t xml:space="preserve">[</w:t>
      </w:r>
      <w:r>
        <w:t xml:space="preserve"> </w:t>
      </w:r>
      <w:r>
        <w:t xml:space="preserve">\Delta_{m,\ell,t,c,k}</w:t>
      </w:r>
      <w:r>
        <w:t xml:space="preserve"> </w:t>
      </w:r>
      <w:r>
        <w:t xml:space="preserve">=\bar Y_{m,\ell,t,c,k}-\bar Y_{m,\ell,t,0,k}.</w:t>
      </w:r>
      <w:r>
        <w:t xml:space="preserve"> </w:t>
      </w:r>
      <w:r>
        <w:t xml:space="preserve">]</w:t>
      </w:r>
    </w:p>
    <w:p>
      <w:pPr>
        <w:numPr>
          <w:ilvl w:val="0"/>
          <w:numId w:val="1012"/>
        </w:numPr>
        <w:pStyle w:val="Compact"/>
      </w:pPr>
      <w:r>
        <w:t xml:space="preserve">主报 raw difference 与 percentile-bootstrap 95% CI；Hedges' (g) 为辅助。</w:t>
      </w:r>
    </w:p>
    <w:p>
      <w:pPr>
        <w:numPr>
          <w:ilvl w:val="0"/>
          <w:numId w:val="1012"/>
        </w:numPr>
        <w:pStyle w:val="Compact"/>
      </w:pPr>
      <w:r>
        <w:t xml:space="preserve">先报告英文三模型，再报告 GPT-4.1 三语言内 effects。</w:t>
      </w:r>
    </w:p>
    <w:p>
      <w:pPr>
        <w:numPr>
          <w:ilvl w:val="0"/>
          <w:numId w:val="1012"/>
        </w:numPr>
        <w:pStyle w:val="Compact"/>
      </w:pPr>
      <w:r>
        <w:t xml:space="preserve">Horizon 三指标、IGT 两指标、BART 三指标分别解释；</w:t>
      </w:r>
      <w:r>
        <w:rPr>
          <w:rStyle w:val="VerbatimChar"/>
        </w:rPr>
        <w:t xml:space="preserve">directed_exploration</w:t>
      </w:r>
      <w:r>
        <w:t xml:space="preserve"> </w:t>
      </w:r>
      <w:r>
        <w:t xml:space="preserve">在正文称 information-seeking choice rate。</w:t>
      </w:r>
    </w:p>
    <w:p>
      <w:pPr>
        <w:numPr>
          <w:ilvl w:val="0"/>
          <w:numId w:val="1012"/>
        </w:numPr>
        <w:pStyle w:val="Compact"/>
      </w:pPr>
      <w:r>
        <w:t xml:space="preserve">Figure 1：英文三模型按任务分面的 raw effects；不同原始单位不共用数轴。</w:t>
      </w:r>
    </w:p>
    <w:p>
      <w:pPr>
        <w:numPr>
          <w:ilvl w:val="0"/>
          <w:numId w:val="1012"/>
        </w:numPr>
        <w:pStyle w:val="Compact"/>
      </w:pPr>
      <w:r>
        <w:t xml:space="preserve">Figure 1 的每个 metric 使用独立横轴，并明确显示 raw difference 与 bootstrap 95% CI。比例指标、pumps 和 estimated choice variability 不共享尺度；Hedges' (g) 不与 raw differences 放在同一坐标轴。</w:t>
      </w:r>
    </w:p>
    <w:p>
      <w:pPr>
        <w:numPr>
          <w:ilvl w:val="0"/>
          <w:numId w:val="1012"/>
        </w:numPr>
        <w:pStyle w:val="Compact"/>
      </w:pPr>
      <w:r>
        <w:t xml:space="preserve">非英文 within-language effects 与 Figure 3 协调展示或放附图，避免 Figure 1 过载。</w:t>
      </w:r>
    </w:p>
    <w:p>
      <w:pPr>
        <w:numPr>
          <w:ilvl w:val="0"/>
          <w:numId w:val="1012"/>
        </w:numPr>
        <w:pStyle w:val="Compact"/>
      </w:pPr>
      <w:r>
        <w:t xml:space="preserve">PSI 正文最多一段，完整表及 CI 入附录。</w:t>
      </w:r>
    </w:p>
    <w:p>
      <w:pPr>
        <w:numPr>
          <w:ilvl w:val="0"/>
          <w:numId w:val="1012"/>
        </w:numPr>
        <w:pStyle w:val="Compact"/>
      </w:pPr>
      <w:r>
        <w:t xml:space="preserve">Hedges' (g) 使用 manipulated 与 Neutral 两组 run-level distributions 的 pooled SD，并应用基于两组总自由度的小样本修正 (J)。若两组均为同一个常数，则 raw difference 为0、(g=\mathrm{NA})，并标记</w:t>
      </w:r>
      <w:r>
        <w:t xml:space="preserve"> </w:t>
      </w:r>
      <w:r>
        <w:rPr>
          <w:rStyle w:val="VerbatimChar"/>
        </w:rPr>
        <w:t xml:space="preserve">constant_equal</w:t>
      </w:r>
      <w:r>
        <w:t xml:space="preserve">；若两组各自为常数但常数不同，则保留 raw difference、(g=\mathrm{NA})，并标记</w:t>
      </w:r>
      <w:r>
        <w:t xml:space="preserve"> </w:t>
      </w:r>
      <w:r>
        <w:rPr>
          <w:rStyle w:val="VerbatimChar"/>
        </w:rPr>
        <w:t xml:space="preserve">constant_unequal</w:t>
      </w:r>
      <w:r>
        <w:t xml:space="preserve">。Bootstrap 中每个 pooled SD 为0的 (g) replicate 必须计入 invalid-replicate diagnostics，不得以0替代；raw contrast 始终保留为主要结果。</w:t>
      </w:r>
    </w:p>
    <w:p>
      <w:pPr>
        <w:numPr>
          <w:ilvl w:val="0"/>
          <w:numId w:val="1012"/>
        </w:numPr>
        <w:pStyle w:val="Compact"/>
      </w:pPr>
      <w:r>
        <w:t xml:space="preserve">正文提供紧凑的 Neutral-baseline mean (SD) 表，或在相应任务小节引用附录中的完整 raw cell-means figure，使 contrasts 始终可结合原始行为位置解释。</w:t>
      </w:r>
    </w:p>
    <w:bookmarkEnd w:id="31"/>
    <w:bookmarkStart w:id="32" w:name="X95eb91df79033193899d3254c68ec2213addc67"/>
    <w:p>
      <w:pPr>
        <w:pStyle w:val="31"/>
      </w:pPr>
      <w:r>
        <w:t xml:space="preserve">4.3 RQ2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I^{M}</w:t>
      </w:r>
      <w:r>
        <w:rPr>
          <w:iCs/>
          <w:i/>
        </w:rPr>
        <w:t xml:space="preserve">{m,c,t,k}</w:t>
      </w:r>
      <w:r>
        <w:rPr>
          <w:iCs/>
          <w:i/>
        </w:rPr>
        <w:t xml:space="preserve"> </w:t>
      </w:r>
      <w:r>
        <w:rPr>
          <w:iCs/>
          <w:i/>
        </w:rPr>
        <w:t xml:space="preserve">=\Delta</w:t>
      </w:r>
      <w:r>
        <w:t xml:space="preserve">{m,\mathrm{en},t,c,k}</w:t>
      </w:r>
      <w:r>
        <w:t xml:space="preserve"> </w:t>
      </w:r>
      <w:r>
        <w:t xml:space="preserve">-\Delta_{\mathrm{GPT\mbox{-}5.4},\mathrm{en},t,c,k}.</w:t>
      </w:r>
      <w:r>
        <w:t xml:space="preserve"> </w:t>
      </w:r>
      <w:r>
        <w:t xml:space="preserve">]</w:t>
      </w:r>
    </w:p>
    <w:p>
      <w:pPr>
        <w:numPr>
          <w:ilvl w:val="0"/>
          <w:numId w:val="1013"/>
        </w:numPr>
        <w:pStyle w:val="Compact"/>
      </w:pPr>
      <w:r>
        <w:t xml:space="preserve">输入：新生成的 GPT-5.4-reference joint-bootstrap contrasts。</w:t>
      </w:r>
    </w:p>
    <w:p>
      <w:pPr>
        <w:numPr>
          <w:ilvl w:val="0"/>
          <w:numId w:val="1013"/>
        </w:numPr>
        <w:pStyle w:val="Compact"/>
      </w:pPr>
      <w:r>
        <w:t xml:space="preserve">Figure 2：</w:t>
      </w:r>
      <w:r>
        <w:rPr>
          <w:rStyle w:val="VerbatimChar"/>
        </w:rPr>
        <w:t xml:space="preserve">GPT-4.1 - GPT-5.4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Mini - GPT-5.4</w:t>
      </w:r>
      <w:r>
        <w:t xml:space="preserve"> </w:t>
      </w:r>
      <w:r>
        <w:t xml:space="preserve">两个 panels。</w:t>
      </w:r>
    </w:p>
    <w:p>
      <w:pPr>
        <w:numPr>
          <w:ilvl w:val="0"/>
          <w:numId w:val="1013"/>
        </w:numPr>
        <w:pStyle w:val="Compact"/>
      </w:pPr>
      <w:r>
        <w:t xml:space="preserve">按 Horizon、IGT、BART 报告，不进行跨任务 omnibus average。</w:t>
      </w:r>
    </w:p>
    <w:p>
      <w:pPr>
        <w:numPr>
          <w:ilvl w:val="0"/>
          <w:numId w:val="1013"/>
        </w:numPr>
        <w:pStyle w:val="Compact"/>
      </w:pPr>
      <w:r>
        <w:t xml:space="preserve">标题、图例、CSV字段和正文方向必须完全一致。</w:t>
      </w:r>
    </w:p>
    <w:bookmarkEnd w:id="32"/>
    <w:bookmarkStart w:id="33" w:name="Xf80ad151fc15cbf6dd69d74d6064b82ef40389f"/>
    <w:p>
      <w:pPr>
        <w:pStyle w:val="31"/>
      </w:pPr>
      <w:r>
        <w:t xml:space="preserve">4.4 RQ3</w:t>
      </w:r>
    </w:p>
    <w:p>
      <w:pPr>
        <w:pStyle w:val="FirstParagraph"/>
      </w:pPr>
      <w:r>
        <w:t xml:space="preserve">Neutral baseline：</w:t>
      </w:r>
    </w:p>
    <w:p>
      <w:pPr>
        <w:pStyle w:val="af"/>
      </w:pPr>
      <w:r>
        <w:t xml:space="preserve">[</w:t>
      </w:r>
      <w:r>
        <w:t xml:space="preserve"> </w:t>
      </w:r>
      <w:r>
        <w:t xml:space="preserve">B_{\ell,t,k}</w:t>
      </w:r>
      <w:r>
        <w:t xml:space="preserve"> </w:t>
      </w:r>
      <w:r>
        <w:t xml:space="preserve">=\bar Y_{\mathrm{GPT\mbox{-}4.1},\ell,t,0,k}</w:t>
      </w:r>
      <w:r>
        <w:t xml:space="preserve"> </w:t>
      </w:r>
      <w:r>
        <w:t xml:space="preserve">-\bar Y_{\mathrm{GPT\mbox{-}4.1},\mathrm{en},t,0,k}.</w:t>
      </w:r>
      <w:r>
        <w:t xml:space="preserve"> </w:t>
      </w:r>
      <w:r>
        <w:t xml:space="preserve">]</w:t>
      </w:r>
    </w:p>
    <w:p>
      <w:pPr>
        <w:pStyle w:val="af"/>
      </w:pPr>
      <w:r>
        <w:t xml:space="preserve">Language-by-prompt：</w:t>
      </w:r>
    </w:p>
    <w:p>
      <w:pPr>
        <w:pStyle w:val="af"/>
      </w:pPr>
      <w:r>
        <w:t xml:space="preserve">[</w:t>
      </w:r>
      <w:r>
        <w:t xml:space="preserve"> </w:t>
      </w:r>
      <w:r>
        <w:t xml:space="preserve">I^{L}</w:t>
      </w:r>
      <w:r>
        <w:rPr>
          <w:iCs/>
          <w:i/>
        </w:rPr>
        <w:t xml:space="preserve">{\ell,c,t,k}</w:t>
      </w:r>
      <w:r>
        <w:rPr>
          <w:iCs/>
          <w:i/>
        </w:rPr>
        <w:t xml:space="preserve"> </w:t>
      </w:r>
      <w:r>
        <w:rPr>
          <w:iCs/>
          <w:i/>
        </w:rPr>
        <w:t xml:space="preserve">=\Delta</w:t>
      </w:r>
      <w:r>
        <w:t xml:space="preserve">{\mathrm{GPT\mbox{-}4.1},\ell,t,c,k}</w:t>
      </w:r>
      <w:r>
        <w:t xml:space="preserve"> </w:t>
      </w:r>
      <w:r>
        <w:t xml:space="preserve">-\Delta_{\mathrm{GPT\mbox{-}4.1},\mathrm{en},t,c,k}.</w:t>
      </w:r>
      <w:r>
        <w:t xml:space="preserve"> </w:t>
      </w:r>
      <w:r>
        <w:t xml:space="preserve">]</w:t>
      </w:r>
    </w:p>
    <w:p>
      <w:pPr>
        <w:numPr>
          <w:ilvl w:val="0"/>
          <w:numId w:val="1014"/>
        </w:numPr>
        <w:pStyle w:val="Compact"/>
      </w:pPr>
      <w:r>
        <w:t xml:space="preserve">Figure 3A：中文−英文、西班牙语−英文 baseline contrasts。</w:t>
      </w:r>
    </w:p>
    <w:p>
      <w:pPr>
        <w:numPr>
          <w:ilvl w:val="0"/>
          <w:numId w:val="1014"/>
        </w:numPr>
        <w:pStyle w:val="Compact"/>
      </w:pPr>
      <w:r>
        <w:t xml:space="preserve">Figure 3B：对应 language-by-prompt contrasts。</w:t>
      </w:r>
    </w:p>
    <w:p>
      <w:pPr>
        <w:numPr>
          <w:ilvl w:val="0"/>
          <w:numId w:val="1014"/>
        </w:numPr>
        <w:pStyle w:val="Compact"/>
      </w:pPr>
      <w:r>
        <w:t xml:space="preserve">先区分 baseline variation 与 sensitivity variation，再描述跨任务模式。</w:t>
      </w:r>
    </w:p>
    <w:p>
      <w:pPr>
        <w:numPr>
          <w:ilvl w:val="0"/>
          <w:numId w:val="1014"/>
        </w:numPr>
        <w:pStyle w:val="Compact"/>
      </w:pPr>
      <w:r>
        <w:t xml:space="preserve">只称 language-associated differences；不是语言人群差异或“语言本身”的因果效应。</w:t>
      </w:r>
    </w:p>
    <w:bookmarkEnd w:id="33"/>
    <w:bookmarkStart w:id="34" w:name="Xfb2fe6714fd01630a907e6487e594cd0c0a60dd"/>
    <w:p>
      <w:pPr>
        <w:pStyle w:val="31"/>
      </w:pPr>
      <w:r>
        <w:t xml:space="preserve">4.5 RQ4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D=\frac{\bar Y_{\mathrm{LLM}}-\bar Y_{\mathrm{human}}}{s_{\mathrm{human}}},</w:t>
      </w:r>
      <w:r>
        <w:t xml:space="preserve"> </w:t>
      </w:r>
      <w:r>
        <w:t xml:space="preserve">\qquad |D|,</w:t>
      </w:r>
      <w:r>
        <w:t xml:space="preserve"> </w:t>
      </w:r>
      <w:r>
        <w:t xml:space="preserve">]</w:t>
      </w:r>
    </w:p>
    <w:p>
      <w:pPr>
        <w:pStyle w:val="af"/>
      </w:pPr>
      <w:r>
        <w:t xml:space="preserve">[</w:t>
      </w:r>
      <w:r>
        <w:t xml:space="preserve"> </w:t>
      </w:r>
      <w:r>
        <w:t xml:space="preserve">\Delta^{abs}=|D|_c-|D|_0,</w:t>
      </w:r>
      <w:r>
        <w:t xml:space="preserve"> </w:t>
      </w:r>
      <w:r>
        <w:t xml:space="preserve">\qquad \Delta C=C_c-C_0.</w:t>
      </w:r>
      <w:r>
        <w:t xml:space="preserve"> </w:t>
      </w:r>
      <w:r>
        <w:t xml:space="preserve">]</w:t>
      </w:r>
    </w:p>
    <w:p>
      <w:pPr>
        <w:numPr>
          <w:ilvl w:val="0"/>
          <w:numId w:val="1015"/>
        </w:numPr>
        <w:pStyle w:val="Compact"/>
      </w:pPr>
      <w:r>
        <w:t xml:space="preserve">先描述 Neutral 的 human-relative position，再报告 (\Delta^{abs}) 和 (\Delta C)。</w:t>
      </w:r>
    </w:p>
    <w:p>
      <w:pPr>
        <w:numPr>
          <w:ilvl w:val="0"/>
          <w:numId w:val="1015"/>
        </w:numPr>
        <w:pStyle w:val="Compact"/>
      </w:pPr>
      <w:r>
        <w:t xml:space="preserve">Figure 4A 为 (\Delta^{abs})，Figure 4B 为 (\Delta C)；不共用数轴。</w:t>
      </w:r>
    </w:p>
    <w:p>
      <w:pPr>
        <w:numPr>
          <w:ilvl w:val="0"/>
          <w:numId w:val="1015"/>
        </w:numPr>
        <w:pStyle w:val="Compact"/>
      </w:pPr>
      <w:r>
        <w:t xml:space="preserve">signed (D) 和完整 cell positions 入附录或紧凑表。</w:t>
      </w:r>
    </w:p>
    <w:p>
      <w:pPr>
        <w:numPr>
          <w:ilvl w:val="0"/>
          <w:numId w:val="1015"/>
        </w:numPr>
        <w:pStyle w:val="Compact"/>
      </w:pPr>
      <w:r>
        <w:t xml:space="preserve">不称 Cohen's (d)、standardised mean difference、effect size、normative interval 或 confidence interval。</w:t>
      </w:r>
    </w:p>
    <w:p>
      <w:pPr>
        <w:numPr>
          <w:ilvl w:val="0"/>
          <w:numId w:val="1015"/>
        </w:numPr>
        <w:pStyle w:val="Compact"/>
      </w:pPr>
      <w:r>
        <w:t xml:space="preserve">不进行显著性判断，不从 coverage 推断机制相同或“更像人类”。</w:t>
      </w:r>
    </w:p>
    <w:p>
      <w:pPr>
        <w:numPr>
          <w:ilvl w:val="0"/>
          <w:numId w:val="1015"/>
        </w:numPr>
        <w:pStyle w:val="Compact"/>
      </w:pPr>
      <w:r>
        <w:t xml:space="preserve">RQ4 不附 inferential interval，因为该分析将选定的人类数据集作为固定的描述性参照，不尝试进行 population-level equivalence inference。Discussion 同时承认 human mean、SD 和经验分位数本身来自有限样本，当前 point estimates 未传播这部分 sampling uncertainty。</w:t>
      </w:r>
    </w:p>
    <w:bookmarkEnd w:id="34"/>
    <w:bookmarkStart w:id="35" w:name="X0ef72087bd48d273489823bb1fa9abb6e0becc1"/>
    <w:p>
      <w:pPr>
        <w:pStyle w:val="31"/>
      </w:pPr>
      <w:r>
        <w:t xml:space="preserve">4.6 Robustness and Diagnostic Checks</w:t>
      </w:r>
    </w:p>
    <w:p>
      <w:pPr>
        <w:numPr>
          <w:ilvl w:val="0"/>
          <w:numId w:val="1016"/>
        </w:numPr>
        <w:pStyle w:val="Compact"/>
      </w:pPr>
      <w:r>
        <w:t xml:space="preserve">正文仅一段或极简表：RE shrinkage、refit成功率、low/zero variance、raw与standardised estimates的一致性。</w:t>
      </w:r>
    </w:p>
    <w:p>
      <w:pPr>
        <w:numPr>
          <w:ilvl w:val="0"/>
          <w:numId w:val="1016"/>
        </w:numPr>
        <w:pStyle w:val="Compact"/>
      </w:pPr>
      <w:r>
        <w:t xml:space="preserve">详细结果全部入附录。</w:t>
      </w:r>
    </w:p>
    <w:p>
      <w:pPr>
        <w:numPr>
          <w:ilvl w:val="0"/>
          <w:numId w:val="1016"/>
        </w:numPr>
        <w:pStyle w:val="Compact"/>
      </w:pPr>
      <w:r>
        <w:t xml:space="preserve">raw estimand为首要解释；若 (g) 因低SD而放大，必须同时报告raw幅度。</w:t>
      </w:r>
    </w:p>
    <w:bookmarkEnd w:id="35"/>
    <w:bookmarkStart w:id="36" w:name="Xdbfd73746f318c17646e3dbe01eb105a946c37a"/>
    <w:p>
      <w:pPr>
        <w:pStyle w:val="31"/>
      </w:pPr>
      <w:r>
        <w:t xml:space="preserve">4.7 Descriptive Synthesis</w:t>
      </w:r>
    </w:p>
    <w:p>
      <w:pPr>
        <w:numPr>
          <w:ilvl w:val="0"/>
          <w:numId w:val="1017"/>
        </w:numPr>
        <w:pStyle w:val="Compact"/>
      </w:pPr>
      <w:r>
        <w:t xml:space="preserve">最多一段，依次用一句回答 RQ1--RQ4 的观察模式。</w:t>
      </w:r>
    </w:p>
    <w:p>
      <w:pPr>
        <w:numPr>
          <w:ilvl w:val="0"/>
          <w:numId w:val="1017"/>
        </w:numPr>
        <w:pStyle w:val="Compact"/>
      </w:pPr>
      <w:r>
        <w:t xml:space="preserve">不引文、不解释机制、不重复全部数值。</w:t>
      </w:r>
    </w:p>
    <w:bookmarkEnd w:id="36"/>
    <w:bookmarkEnd w:id="37"/>
    <w:bookmarkStart w:id="38" w:name="Xeebc8744d88c6d4020f80ab08b69aedef452681"/>
    <w:p>
      <w:pPr>
        <w:pStyle w:val="21"/>
      </w:pPr>
      <w:r>
        <w:t xml:space="preserve">5. Discussion 段落逻辑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Principal findings</w:t>
      </w:r>
      <w:r>
        <w:t xml:space="preserve">：逐RQ概括最重要发现，不重复数表。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Prompt formulation and model/language variation</w:t>
      </w:r>
      <w:r>
        <w:t xml:space="preserve">：解释 prompt 为何属于测量程序；区分有意义的 construct manipulation 与无关表述波动；讨论 model-specific 和 language-associated patterns，但不归因于架构、规模或语言人群心理差异。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Task-specific interpretation</w:t>
      </w:r>
      <w:r>
        <w:t xml:space="preserve">：分 Horizon、IGT、BART 解释，不构造总体决策能力。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Human-reference interpretation</w:t>
      </w:r>
      <w:r>
        <w:t xml:space="preserve">：解释 human proximity 不是表现、等价性或共同机制证据，并讨论固定人类样本参照的边界。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Reliability, limitations and generalisability</w:t>
      </w:r>
      <w:r>
        <w:t xml:space="preserve">：集中讨论服务漂移、task-environment seeds 与不可控的专有API内部采样状态、翻译等价、run非人类个体、cell (n=20)、RE模型依赖及 multiple contrasts，避免与独立 limitations 小节重复。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Future work and conclusion</w:t>
      </w:r>
      <w:r>
        <w:t xml:space="preserve">：提出预注册、多snapshot复现、更多语言/任务、独立prompt审计和开放模型验证，并仅总结最终结果直接支持的贡献。</w:t>
      </w:r>
    </w:p>
    <w:bookmarkEnd w:id="38"/>
    <w:bookmarkStart w:id="39" w:name="X5ce052cb09f3256ba447a8d9b85a6438ab11d7c"/>
    <w:p>
      <w:pPr>
        <w:pStyle w:val="21"/>
      </w:pPr>
      <w:r>
        <w:t xml:space="preserve">6. Results 与 Discussion 的边界</w:t>
      </w:r>
    </w:p>
    <w:p>
      <w:pPr>
        <w:pStyle w:val="FirstParagraph"/>
      </w:pPr>
      <w:r>
        <w:t xml:space="preserve">Results 只写：样本与技术质量、point estimates、CI、方向、幅度、区间宽度、相似方向的 effects 是否在相关指标、prompt conditions、models 或 tasks 中再次出现，以及 sensitivity analysis 是否改变描述性结论。</w:t>
      </w:r>
    </w:p>
    <w:p>
      <w:pPr>
        <w:pStyle w:val="af"/>
      </w:pPr>
      <w:r>
        <w:t xml:space="preserve">Discussion 才写：可能原因、规则表征或角色语境、训练与语言覆盖、与文献的一致或冲突、机制假说、外部效度、局限和未来工作。</w:t>
      </w:r>
    </w:p>
    <w:p>
      <w:pPr>
        <w:pStyle w:val="af"/>
      </w:pPr>
      <w:r>
        <w:t xml:space="preserve">Results 禁止出现</w:t>
      </w:r>
      <w:r>
        <w:t xml:space="preserve"> </w:t>
      </w:r>
      <w:r>
        <w:rPr>
          <w:rStyle w:val="VerbatimChar"/>
        </w:rPr>
        <w:t xml:space="preserve">because</w:t>
      </w:r>
      <w:r>
        <w:t xml:space="preserve">、</w:t>
      </w:r>
      <w:r>
        <w:rPr>
          <w:rStyle w:val="VerbatimChar"/>
        </w:rPr>
        <w:t xml:space="preserve">proves</w:t>
      </w:r>
      <w:r>
        <w:t xml:space="preserve">、</w:t>
      </w:r>
      <w:r>
        <w:rPr>
          <w:rStyle w:val="VerbatimChar"/>
        </w:rPr>
        <w:t xml:space="preserve">demonstrates a cognitive strategy</w:t>
      </w:r>
      <w:r>
        <w:t xml:space="preserve"> </w:t>
      </w:r>
      <w:r>
        <w:t xml:space="preserve">等机制或因果措辞。</w:t>
      </w:r>
    </w:p>
    <w:p>
      <w:pPr>
        <w:pStyle w:val="af"/>
      </w:pPr>
      <w:r>
        <w:t xml:space="preserve">本研究以估计为中心，不对 bootstrap intervals 进行 family-wise multiplicity adjustment，也不依据某一个未经校正的区间是否排除0作实质性结论。解释应同时考虑预设 raw contrasts、效应幅度、区间宽度，以及相关指标和任务中是否出现可重复的描述性模式。中文正文避免以“显著／不显著”作为主要判断。</w:t>
      </w:r>
    </w:p>
    <w:bookmarkEnd w:id="39"/>
    <w:bookmarkStart w:id="40" w:name="Xe7245a67c3ec126801e892b2e0848c8590e46bd"/>
    <w:p>
      <w:pPr>
        <w:pStyle w:val="21"/>
      </w:pPr>
      <w:r>
        <w:t xml:space="preserve">7. 主文与附录分流</w:t>
      </w:r>
    </w:p>
    <w:p>
      <w:pPr>
        <w:pStyle w:val="FirstParagraph"/>
      </w:pPr>
      <w:r>
        <w:t xml:space="preserve">主文：Table 1；Figures 1--4；紧凑的 Neutral-baseline mean (SD) 表；每RQ关键 raw contrasts 与 CI；RQ4 的主要 (\Delta^{abs})/(\Delta C)；一段 robustness summary。</w:t>
      </w:r>
    </w:p>
    <w:p>
      <w:pPr>
        <w:pStyle w:val="af"/>
      </w:pPr>
      <w:r>
        <w:t xml:space="preserve">附录：所有 cell descriptives 与完整 raw cell-means figure；完整 Hedges' (g)；完整 PSI；signed (D)、(|D|)、coverage；RE参数、condition/run estimates、convergence、failed refits；三种 shrinkage；bootstrap diagnostics；low/zero variance；missingness；prompt length/token audit 和 provenance。</w:t>
      </w:r>
    </w:p>
    <w:bookmarkEnd w:id="40"/>
    <w:bookmarkStart w:id="41" w:name="X98c268f4bc9c359545163e6a937b20560f78c09"/>
    <w:p>
      <w:pPr>
        <w:pStyle w:val="21"/>
      </w:pPr>
      <w:r>
        <w:t xml:space="preserve">8. 当前不可写的内容</w:t>
      </w:r>
    </w:p>
    <w:p>
      <w:pPr>
        <w:numPr>
          <w:ilvl w:val="0"/>
          <w:numId w:val="1019"/>
        </w:numPr>
        <w:pStyle w:val="Compact"/>
      </w:pPr>
      <w:r>
        <w:t xml:space="preserve">中文和西班牙语 RQ1 数值；</w:t>
      </w:r>
    </w:p>
    <w:p>
      <w:pPr>
        <w:numPr>
          <w:ilvl w:val="0"/>
          <w:numId w:val="1019"/>
        </w:numPr>
        <w:pStyle w:val="Compact"/>
      </w:pPr>
      <w:r>
        <w:t xml:space="preserve">全部 RQ3 结论；</w:t>
      </w:r>
    </w:p>
    <w:p>
      <w:pPr>
        <w:numPr>
          <w:ilvl w:val="0"/>
          <w:numId w:val="1019"/>
        </w:numPr>
        <w:pStyle w:val="Compact"/>
      </w:pPr>
      <w:r>
        <w:t xml:space="preserve">Mini−GPT-5.4 的直接 interaction interval；</w:t>
      </w:r>
    </w:p>
    <w:p>
      <w:pPr>
        <w:numPr>
          <w:ilvl w:val="0"/>
          <w:numId w:val="1019"/>
        </w:numPr>
        <w:pStyle w:val="Compact"/>
      </w:pPr>
      <w:r>
        <w:t xml:space="preserve">最终 GPT-5.4-reference RQ2 表；</w:t>
      </w:r>
    </w:p>
    <w:p>
      <w:pPr>
        <w:numPr>
          <w:ilvl w:val="0"/>
          <w:numId w:val="1019"/>
        </w:numPr>
        <w:pStyle w:val="Compact"/>
      </w:pPr>
      <w:r>
        <w:t xml:space="preserve">RE convergence、failed refits 和 shrinkage结论；</w:t>
      </w:r>
    </w:p>
    <w:p>
      <w:pPr>
        <w:numPr>
          <w:ilvl w:val="0"/>
          <w:numId w:val="1019"/>
        </w:numPr>
        <w:pStyle w:val="Compact"/>
      </w:pPr>
      <w:r>
        <w:t xml:space="preserve">中文、西班牙语 human-reference结果；</w:t>
      </w:r>
    </w:p>
    <w:p>
      <w:pPr>
        <w:numPr>
          <w:ilvl w:val="0"/>
          <w:numId w:val="1019"/>
        </w:numPr>
        <w:pStyle w:val="Compact"/>
      </w:pPr>
      <w:r>
        <w:t xml:space="preserve">最终 (\Delta^{abs}) 和 (\Delta C) 表；</w:t>
      </w:r>
    </w:p>
    <w:p>
      <w:pPr>
        <w:numPr>
          <w:ilvl w:val="0"/>
          <w:numId w:val="1019"/>
        </w:numPr>
        <w:pStyle w:val="Compact"/>
      </w:pPr>
      <w:r>
        <w:t xml:space="preserve">“跨语言稳健”“模型间一致”“更接近人类”等总体结论；</w:t>
      </w:r>
    </w:p>
    <w:p>
      <w:pPr>
        <w:numPr>
          <w:ilvl w:val="0"/>
          <w:numId w:val="1019"/>
        </w:numPr>
        <w:pStyle w:val="Compact"/>
      </w:pPr>
      <w:r>
        <w:t xml:space="preserve">任何旧图、旧pairwise或non-refit数值。</w:t>
      </w:r>
    </w:p>
    <w:bookmarkEnd w:id="41"/>
    <w:bookmarkStart w:id="42" w:name="X9c2575bc475dc6af2dfc95ee69d46d6b1825c27"/>
    <w:p>
      <w:pPr>
        <w:pStyle w:val="21"/>
      </w:pPr>
      <w:r>
        <w:t xml:space="preserve">9. 最终验收清单</w:t>
      </w:r>
    </w:p>
    <w:p>
      <w:pPr>
        <w:numPr>
          <w:ilvl w:val="0"/>
          <w:numId w:val="1020"/>
        </w:numPr>
        <w:pStyle w:val="Compact"/>
      </w:pPr>
      <w:r>
        <w:t xml:space="preserve">☐ RQ1覆盖所有预设 model--language 内 prompt effects。</w:t>
      </w:r>
    </w:p>
    <w:p>
      <w:pPr>
        <w:numPr>
          <w:ilvl w:val="0"/>
          <w:numId w:val="1020"/>
        </w:numPr>
        <w:pStyle w:val="Compact"/>
      </w:pPr>
      <w:r>
        <w:t xml:space="preserve">☐ RQ1 保持为所有预设 model--language cells 内的 prompt effects；RQ3 仅承担语言间 baseline 和 prompt-effect contrasts。该分工与 Introduction 的一般性 RQ1 及 Method 的 within-language analysis 范围保持一致。</w:t>
      </w:r>
    </w:p>
    <w:p>
      <w:pPr>
        <w:numPr>
          <w:ilvl w:val="0"/>
          <w:numId w:val="1020"/>
        </w:numPr>
        <w:pStyle w:val="Compact"/>
      </w:pPr>
      <w:r>
        <w:t xml:space="preserve">☐ RQ2两组 contrasts 均为 target model minus GPT-5.4。</w:t>
      </w:r>
    </w:p>
    <w:p>
      <w:pPr>
        <w:numPr>
          <w:ilvl w:val="0"/>
          <w:numId w:val="1020"/>
        </w:numPr>
        <w:pStyle w:val="Compact"/>
      </w:pPr>
      <w:r>
        <w:t xml:space="preserve">☐ RQ3的16项 baseline 与48项 interaction 齐全。</w:t>
      </w:r>
    </w:p>
    <w:p>
      <w:pPr>
        <w:numPr>
          <w:ilvl w:val="0"/>
          <w:numId w:val="1020"/>
        </w:numPr>
        <w:pStyle w:val="Compact"/>
      </w:pPr>
      <w:r>
        <w:t xml:space="preserve">☐ RQ4始终保持 descriptive/supplementary 定位。</w:t>
      </w:r>
    </w:p>
    <w:p>
      <w:pPr>
        <w:numPr>
          <w:ilvl w:val="0"/>
          <w:numId w:val="1020"/>
        </w:numPr>
        <w:pStyle w:val="Compact"/>
      </w:pPr>
      <w:r>
        <w:t xml:space="preserve">☐ Random exploration 每个 bootstrap replicate 重新拟合层级模型。</w:t>
      </w:r>
    </w:p>
    <w:p>
      <w:pPr>
        <w:numPr>
          <w:ilvl w:val="0"/>
          <w:numId w:val="1020"/>
        </w:numPr>
        <w:pStyle w:val="Compact"/>
      </w:pPr>
      <w:r>
        <w:t xml:space="preserve">☐ Horizon/BART 使用 matched environment-seed blocks；IGT 使用 independent-cell run bootstrap；所有 interaction contrasts 在同一 replicate 内联合计算。</w:t>
      </w:r>
    </w:p>
    <w:p>
      <w:pPr>
        <w:numPr>
          <w:ilvl w:val="0"/>
          <w:numId w:val="1020"/>
        </w:numPr>
        <w:pStyle w:val="Compact"/>
      </w:pPr>
      <w:r>
        <w:t xml:space="preserve">☐ RE convergence、failed refits 和三种 shrinkage 均报告。</w:t>
      </w:r>
    </w:p>
    <w:p>
      <w:pPr>
        <w:numPr>
          <w:ilvl w:val="0"/>
          <w:numId w:val="1020"/>
        </w:numPr>
        <w:pStyle w:val="Compact"/>
      </w:pPr>
      <w:r>
        <w:t xml:space="preserve">☐ PSI 未被解释为能力、表现、人类相似性或模型排名。</w:t>
      </w:r>
    </w:p>
    <w:p>
      <w:pPr>
        <w:numPr>
          <w:ilvl w:val="0"/>
          <w:numId w:val="1020"/>
        </w:numPr>
        <w:pStyle w:val="Compact"/>
      </w:pPr>
      <w:r>
        <w:t xml:space="preserve">☐ raw effect 为主要量，Hedges' (g) 为辅助。</w:t>
      </w:r>
    </w:p>
    <w:p>
      <w:pPr>
        <w:numPr>
          <w:ilvl w:val="0"/>
          <w:numId w:val="1020"/>
        </w:numPr>
        <w:pStyle w:val="Compact"/>
      </w:pPr>
      <w:r>
        <w:t xml:space="preserve">☐ 未使用“显著/不显著”作为主要判断。</w:t>
      </w:r>
    </w:p>
    <w:p>
      <w:pPr>
        <w:numPr>
          <w:ilvl w:val="0"/>
          <w:numId w:val="1020"/>
        </w:numPr>
        <w:pStyle w:val="Compact"/>
      </w:pPr>
      <w:r>
        <w:t xml:space="preserve">☐ 未将单个未经 multiplicity adjustment 的 CI 当作强证据。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signed human-SD-scaled mean deviation</w:t>
      </w:r>
      <w:r>
        <w:t xml:space="preserve"> </w:t>
      </w:r>
      <w:r>
        <w:t xml:space="preserve">术语统一；signed (D) 不称 distance。</w:t>
      </w:r>
    </w:p>
    <w:p>
      <w:pPr>
        <w:numPr>
          <w:ilvl w:val="0"/>
          <w:numId w:val="1020"/>
        </w:numPr>
        <w:pStyle w:val="Compact"/>
      </w:pPr>
      <w:r>
        <w:t xml:space="preserve">☐ empirical human interval 不称 confidence、normal 或 normative interval。</w:t>
      </w:r>
    </w:p>
    <w:p>
      <w:pPr>
        <w:numPr>
          <w:ilvl w:val="0"/>
          <w:numId w:val="1020"/>
        </w:numPr>
        <w:pStyle w:val="Compact"/>
      </w:pPr>
      <w:r>
        <w:t xml:space="preserve">☐ 不跨任务平均 raw effects，不构造总体能力分数。</w:t>
      </w:r>
    </w:p>
    <w:p>
      <w:pPr>
        <w:numPr>
          <w:ilvl w:val="0"/>
          <w:numId w:val="1020"/>
        </w:numPr>
        <w:pStyle w:val="Compact"/>
      </w:pPr>
      <w:r>
        <w:t xml:space="preserve">☐ 图、表和正文数字均可追溯到冻结结果包。</w:t>
      </w:r>
    </w:p>
    <w:p>
      <w:pPr>
        <w:numPr>
          <w:ilvl w:val="0"/>
          <w:numId w:val="1020"/>
        </w:numPr>
        <w:pStyle w:val="Compact"/>
      </w:pPr>
      <w:r>
        <w:t xml:space="preserve">☐ Results 不含机制解释；Discussion 不补造未完成结果。</w:t>
      </w:r>
    </w:p>
    <w:p>
      <w:pPr>
        <w:numPr>
          <w:ilvl w:val="0"/>
          <w:numId w:val="1020"/>
        </w:numPr>
        <w:pStyle w:val="Compact"/>
      </w:pPr>
      <w:r>
        <w:t xml:space="preserve">☐ Introduction 的 results-achieved 段只在最终结果冻结后填写。</w:t>
      </w:r>
    </w:p>
    <w:bookmarkEnd w:id="42"/>
    <w:bookmarkStart w:id="43" w:name="X913ed5ef60ce36cddcfef99de1ffab70ea6ef92"/>
    <w:p>
      <w:pPr>
        <w:pStyle w:val="21"/>
      </w:pPr>
      <w:r>
        <w:t xml:space="preserve">10. 建议篇幅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部分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建议页数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内容重点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5--6页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数据质量约0.5页；RQ1与RQ2约3页；RQ3、RQ4及robustness约1.5--2.5页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5--6页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主要发现约1页；方法学、模型、语言、任务和人类参照解释约2.5--3页；局限、未来工作和结论约1.5--2页</w:t>
            </w:r>
          </w:p>
        </w:tc>
      </w:tr>
    </w:tbl>
    <w:bookmarkEnd w:id="43"/>
    <w:bookmarkEnd w:id="44"/>
    <w:sectPr w:rsidR="000446A0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7AC59" w14:textId="77777777" w:rsidR="000446A0" w:rsidRDefault="00000000">
    <w:pPr>
      <w:pStyle w:val="a7"/>
      <w:jc w:val="center"/>
    </w:pPr>
    <w:r>
      <w:rPr>
        <w:rFonts w:ascii="Calibri" w:hAnsi="Calibri"/>
        <w:color w:val="888888"/>
        <w:sz w:val="18"/>
      </w:rPr>
      <w:t>University of Edinburgh MSc Project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ADE47" w14:textId="77777777" w:rsidR="000446A0" w:rsidRDefault="00000000">
    <w:pPr>
      <w:pStyle w:val="a5"/>
      <w:jc w:val="right"/>
    </w:pPr>
    <w:r>
      <w:rPr>
        <w:rFonts w:ascii="Calibri" w:hAnsi="Calibri"/>
        <w:color w:val="777777"/>
        <w:sz w:val="18"/>
      </w:rPr>
      <w:t>IPP · Results &amp; Discussion Plan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834291838" w:numId="1">
    <w:abstractNumId w:val="8"/>
  </w:num>
  <w:num w16cid:durableId="2008361234" w:numId="2">
    <w:abstractNumId w:val="6"/>
  </w:num>
  <w:num w16cid:durableId="1307927593" w:numId="3">
    <w:abstractNumId w:val="5"/>
  </w:num>
  <w:num w16cid:durableId="673187817" w:numId="4">
    <w:abstractNumId w:val="4"/>
  </w:num>
  <w:num w16cid:durableId="1360934057" w:numId="5">
    <w:abstractNumId w:val="7"/>
  </w:num>
  <w:num w16cid:durableId="1619291424" w:numId="6">
    <w:abstractNumId w:val="3"/>
  </w:num>
  <w:num w16cid:durableId="993723737" w:numId="7">
    <w:abstractNumId w:val="2"/>
  </w:num>
  <w:num w16cid:durableId="1942492629" w:numId="8">
    <w:abstractNumId w:val="1"/>
  </w:num>
  <w:num w16cid:durableId="1269695958"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FC693F"/>
    <w:pPr>
      <w:spacing w:after="120" w:line="300" w:lineRule="auto"/>
    </w:pPr>
    <w:rPr>
      <w:rFonts w:ascii="Noto Sans CJK SC" w:eastAsia="Noto Sans CJK SC" w:hAnsi="Noto Sans CJK SC"/>
    </w:rPr>
  </w:style>
  <w:style w:styleId="1" w:type="paragraph">
    <w:name w:val="heading 1"/>
    <w:basedOn w:val="a1"/>
    <w:next w:val="a1"/>
    <w:link w:val="10"/>
    <w:uiPriority w:val="9"/>
    <w:qFormat/>
    <w:rsid w:val="00FC693F"/>
    <w:pPr>
      <w:keepNext/>
      <w:keepLines/>
      <w:spacing w:after="200" w:before="360"/>
      <w:outlineLvl w:val="0"/>
    </w:pPr>
    <w:rPr>
      <w:rFonts w:asciiTheme="majorHAnsi" w:cstheme="majorBidi" w:eastAsiaTheme="majorEastAsia" w:hAnsiTheme="majorHAnsi"/>
      <w:b/>
      <w:bCs/>
      <w:color w:val="2E74B5"/>
      <w:sz w:val="32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40" w:before="280"/>
      <w:outlineLvl w:val="1"/>
    </w:pPr>
    <w:rPr>
      <w:rFonts w:asciiTheme="majorHAnsi" w:cstheme="majorBidi" w:eastAsiaTheme="majorEastAsia" w:hAnsiTheme="majorHAnsi"/>
      <w:b/>
      <w:bCs/>
      <w:color w:val="2E74B5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Theme="majorHAnsi" w:cstheme="majorBidi" w:eastAsiaTheme="majorEastAsia" w:hAnsiTheme="majorHAnsi"/>
      <w:b/>
      <w:bCs/>
      <w:color w:val="1F4D78"/>
      <w:sz w:val="24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6" w:type="character">
    <w:name w:val="页眉 字符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8" w:type="character">
    <w:name w:val="页脚 字符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after="0" w:line="240" w:lineRule="auto"/>
    </w:pPr>
  </w:style>
  <w:style w:customStyle="1" w:styleId="10" w:type="character">
    <w:name w:val="标题 1 字符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标题 2 字符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标题 3 字符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a" w:type="paragraph">
    <w:name w:val="Title"/>
    <w:basedOn w:val="a1"/>
    <w:next w:val="a1"/>
    <w:link w:val="ab"/>
    <w:uiPriority w:val="10"/>
    <w:qFormat/>
    <w:rsid w:val="00FC693F"/>
    <w:pPr>
      <w:keepNext/>
      <w:pBdr>
        <w:bottom w:color="4F81BD" w:space="4" w:sz="8" w:themeColor="accent1" w:val="single"/>
      </w:pBdr>
      <w:spacing w:after="200" w:line="240" w:lineRule="auto"/>
      <w:contextualSpacing/>
    </w:pPr>
    <w:rPr>
      <w:rFonts w:asciiTheme="majorHAnsi" w:cstheme="majorBidi" w:eastAsiaTheme="majorEastAsia" w:hAnsiTheme="majorHAnsi"/>
      <w:b/>
      <w:color w:val="1F4D78"/>
      <w:spacing w:val="5"/>
      <w:kern w:val="28"/>
      <w:sz w:val="50"/>
      <w:szCs w:val="52"/>
    </w:rPr>
  </w:style>
  <w:style w:customStyle="1" w:styleId="ab" w:type="character">
    <w:name w:val="标题 字符"/>
    <w:basedOn w:val="a2"/>
    <w:link w:val="aa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c" w:type="paragraph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320"/>
    </w:pPr>
    <w:rPr>
      <w:rFonts w:asciiTheme="majorHAnsi" w:cstheme="majorBidi" w:eastAsiaTheme="majorEastAsia" w:hAnsiTheme="majorHAnsi"/>
      <w:i/>
      <w:iCs/>
      <w:color w:val="666666"/>
      <w:spacing w:val="15"/>
      <w:sz w:val="24"/>
      <w:szCs w:val="24"/>
    </w:rPr>
  </w:style>
  <w:style w:customStyle="1" w:styleId="ad" w:type="character">
    <w:name w:val="副标题 字符"/>
    <w:basedOn w:val="a2"/>
    <w:link w:val="ac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</w:style>
  <w:style w:customStyle="1" w:styleId="af0" w:type="character">
    <w:name w:val="正文文本 字符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line="480" w:lineRule="auto"/>
    </w:pPr>
  </w:style>
  <w:style w:customStyle="1" w:styleId="24" w:type="character">
    <w:name w:val="正文文本 2 字符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rPr>
      <w:sz w:val="16"/>
      <w:szCs w:val="16"/>
    </w:rPr>
  </w:style>
  <w:style w:customStyle="1" w:styleId="34" w:type="character">
    <w:name w:val="正文文本 3 字符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5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spacing w:after="80"/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spacing w:after="80"/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af4" w:type="character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styleId="af5" w:type="paragraph">
    <w:name w:val="Quote"/>
    <w:basedOn w:val="a1"/>
    <w:next w:val="a1"/>
    <w:link w:val="af6"/>
    <w:uiPriority w:val="29"/>
    <w:qFormat/>
    <w:rsid w:val="00FC693F"/>
    <w:rPr>
      <w:i/>
      <w:iCs/>
      <w:color w:themeColor="text1" w:val="000000"/>
    </w:rPr>
  </w:style>
  <w:style w:customStyle="1" w:styleId="af6" w:type="character">
    <w:name w:val="引用 字符"/>
    <w:basedOn w:val="a2"/>
    <w:link w:val="af5"/>
    <w:uiPriority w:val="29"/>
    <w:rsid w:val="00FC693F"/>
    <w:rPr>
      <w:i/>
      <w:iCs/>
      <w:color w:themeColor="text1" w:val="000000"/>
    </w:rPr>
  </w:style>
  <w:style w:customStyle="1" w:styleId="40" w:type="character">
    <w:name w:val="标题 4 字符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标题 5 字符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0" w:type="character">
    <w:name w:val="标题 6 字符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0" w:type="character">
    <w:name w:val="标题 7 字符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标题 8 字符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标题 9 字符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7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8" w:type="character">
    <w:name w:val="Strong"/>
    <w:basedOn w:val="a2"/>
    <w:uiPriority w:val="22"/>
    <w:qFormat/>
    <w:rsid w:val="00FC693F"/>
    <w:rPr>
      <w:b/>
      <w:bCs/>
    </w:rPr>
  </w:style>
  <w:style w:styleId="af9" w:type="character">
    <w:name w:val="Emphasis"/>
    <w:basedOn w:val="a2"/>
    <w:uiPriority w:val="20"/>
    <w:qFormat/>
    <w:rsid w:val="00FC693F"/>
    <w:rPr>
      <w:i/>
      <w:iCs/>
    </w:rPr>
  </w:style>
  <w:style w:styleId="afa" w:type="paragraph">
    <w:name w:val="Intense Quote"/>
    <w:basedOn w:val="a1"/>
    <w:next w:val="a1"/>
    <w:link w:val="afb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b" w:type="character">
    <w:name w:val="明显引用 字符"/>
    <w:basedOn w:val="a2"/>
    <w:link w:val="afa"/>
    <w:uiPriority w:val="30"/>
    <w:rsid w:val="00FC693F"/>
    <w:rPr>
      <w:b/>
      <w:bCs/>
      <w:i/>
      <w:iCs/>
      <w:color w:themeColor="accent1" w:val="4F81BD"/>
    </w:rPr>
  </w:style>
  <w:style w:styleId="afc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d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e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f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f0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f1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2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f3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f4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1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f5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f6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7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8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2593</Words>
  <Characters>6408</Characters>
  <Application>Microsoft Office Word</Application>
  <DocSecurity>0</DocSecurity>
  <Lines>376</Lines>
  <Paragraphs>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2026-08-09T17:48:38Z</dcterms:created>
  <dcterms:modified xsi:type="dcterms:W3CDTF">2026-08-09T17:48:38Z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