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成本验收标准说明</w:t>
      </w:r>
    </w:p>
    <w:p>
      <w:r>
        <w:t>日期：2026年10月14日　对应稿件：v33</w:t>
      </w:r>
    </w:p>
    <w:p>
      <w:r>
        <w:t>本说明记录成本验收标准的变更及其对既有测量的影响。当前标准为五轮RTF的IQR/中位数小于10%，所有块与整轮前后校准漂移小于11%。频率、日志覆盖、数值一致性、温度缺项处理及其他条件沿用既有规则。</w:t>
      </w:r>
    </w:p>
    <w:p>
      <w:r>
        <w:t>原标准为离散度小于5%、校准漂移小于3%。作者在185次正式运行和原验收结果完成后，于2026年10月14日先要求10%/6%、继而10%/8%，最后要求按图中全部S3点的实际漂移设置阈值。S3最大实际漂移为10.852779636%，最终阈值取11%。这是根据已观察结果确定的标准；正文只列当前标准，本说明记录时序及其依据。</w:t>
      </w:r>
    </w:p>
    <w:p>
      <w:r>
        <w:t>本次仅对原16个已选定、各五轮完整的session重新判定。原始耗时、RTF、预测、频率日志、校准测量及session选择均未改变，也未增加训练、推理或计时。原标准通过8项，10%/6%和10%/8%中间标准分别通过10项与12项，最终10%/11%标准通过13项，仍未通过3项。</w:t>
      </w:r>
    </w:p>
    <w:p>
      <w:pPr>
        <w:pStyle w:val="Heading1"/>
      </w:pPr>
      <w:r>
        <w:t>新旧判定对照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insideH w:val="nil" w:sz="6"/>
          <w:insideV w:val="nil" w:sz="6"/>
          <w:left w:val="nil" w:sz="6"/>
          <w:right w:val="nil" w:sz="6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  <w:tblHeader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方法与路径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设置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原判定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当前判定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IQR/中位数 %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最大漂移 %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NISQA MOS/官方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2.1551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1.3254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NISQA MOS/官方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S2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1.4411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1.3540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NISQA MOS/官方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1.0060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5.7531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PLCMOS/官方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0.3734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6.9969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PLCMOS/官方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2.0933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6.0700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首版/原生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0.9317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1.5032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首版/原生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S2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1.8677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1.3540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首版/原生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0.4474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2.4965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GRU64/部署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4.7467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7.8802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GRU64/部署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1.9476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10.8528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GRU96/部署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0.8322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1.2126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GRU96/部署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S2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0.3538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1.5306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GRU96/部署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0.1694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2.2079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S1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1.7882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6.2880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S2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1.4793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1.3540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20" w:line="220" w:lineRule="exact"/>
            </w:pPr>
            <w:r>
              <w:rPr>
                <w:sz w:val="17"/>
              </w:rPr>
              <w:t>GRU96/原生</w:t>
            </w:r>
          </w:p>
        </w:tc>
        <w:tc>
          <w:tcPr>
            <w:tcW w:type="dxa" w:w="709"/>
          </w:tcPr>
          <w:p>
            <w:pPr>
              <w:spacing w:after="20" w:line="220" w:lineRule="exact"/>
            </w:pPr>
            <w:r>
              <w:rPr>
                <w:sz w:val="17"/>
              </w:rPr>
              <w:t>S3</w:t>
            </w:r>
          </w:p>
        </w:tc>
        <w:tc>
          <w:tcPr>
            <w:tcW w:type="dxa" w:w="964"/>
          </w:tcPr>
          <w:p>
            <w:pPr>
              <w:spacing w:after="20" w:line="220" w:lineRule="exact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020"/>
          </w:tcPr>
          <w:p>
            <w:pPr>
              <w:spacing w:after="20" w:line="220" w:lineRule="exact"/>
            </w:pPr>
            <w:r>
              <w:rPr>
                <w:sz w:val="17"/>
              </w:rPr>
              <w:t>通过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2.4868</w:t>
            </w:r>
          </w:p>
        </w:tc>
        <w:tc>
          <w:tcPr>
            <w:tcW w:type="dxa" w:w="1956"/>
          </w:tcPr>
          <w:p>
            <w:pPr>
              <w:spacing w:after="20" w:line="220" w:lineRule="exact"/>
            </w:pPr>
            <w:r>
              <w:rPr>
                <w:sz w:val="17"/>
              </w:rPr>
              <w:t>5.8599</w:t>
            </w:r>
          </w:p>
        </w:tc>
      </w:tr>
    </w:tbl>
    <w:p>
      <w:r>
        <w:t>图中全部6个S3设置通过，均以实心显示。剩余PLCMOS/S1、GRU64部署/S1、GRU96部署/S1的频率门仍未通过；此三项不因校准阈值变更而改为通过。判定使用完整精度。</w:t>
      </w:r>
    </w:p>
    <w:p>
      <w:r>
        <w:t>摘要效率口径仍以计算量、内存和流式结果为主。当前NISQA MOS/S3、PLCMOS/S3与GRU96部署/S3均通过，两个参照的耗时比分别为1.8264和9.8017；对应漂移扰动范围1.6841–1.9750及9.0079–10.6314仍是敏感性范围，不是置信区间。</w:t>
      </w:r>
    </w:p>
    <w:p>
      <w:r>
        <w:t>图4另补齐官方MOS单输出模型在TCD固定384条文件上的一次GPU预测，原始Pearson为0.842060；使用与成本相同的权重，仅补质量轴，未增加成本计时，也未替换原五维结果及质量主表。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Times New Roman" w:hAnsi="Times New Roman" w:eastAsia="华文中宋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80" w:lineRule="exact"/>
      <w:outlineLvl w:val="0"/>
    </w:pPr>
    <w:rPr>
      <w:rFonts w:asciiTheme="majorHAnsi" w:eastAsiaTheme="majorEastAsia" w:hAnsiTheme="majorHAnsi" w:cstheme="majorBidi" w:ascii="Times New Roman" w:hAnsi="Times New Roman" w:eastAsia="华文中宋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80" w:lineRule="exact"/>
      <w:contextualSpacing/>
    </w:pPr>
    <w:rPr>
      <w:rFonts w:asciiTheme="majorHAnsi" w:eastAsiaTheme="majorEastAsia" w:hAnsiTheme="majorHAnsi" w:cstheme="majorBidi" w:ascii="Times New Roman" w:hAnsi="Times New Roman" w:eastAsia="华文中宋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成本验收标准说明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