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spacing w:before="0" w:after="0" w:line="240" w:lineRule="atLeast"/>
        <w:ind w:left="431" w:hanging="431"/>
        <w:rPr>
          <w:rFonts w:hint="eastAsia" w:ascii="微软雅黑" w:hAnsi="微软雅黑" w:eastAsia="微软雅黑"/>
          <w:sz w:val="36"/>
          <w:szCs w:val="36"/>
        </w:rPr>
      </w:pPr>
      <w:bookmarkStart w:id="0" w:name="_Toc286844660"/>
      <w:r>
        <w:rPr>
          <w:rFonts w:hint="eastAsia" w:ascii="微软雅黑" w:hAnsi="微软雅黑" w:eastAsia="微软雅黑"/>
          <w:sz w:val="36"/>
          <w:szCs w:val="36"/>
        </w:rPr>
        <w:t>测试详述</w:t>
      </w:r>
      <w:bookmarkEnd w:id="0"/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1" w:name="_Toc286844661"/>
      <w:r>
        <w:rPr>
          <w:rFonts w:hint="eastAsia" w:ascii="微软雅黑" w:hAnsi="微软雅黑" w:eastAsia="微软雅黑"/>
        </w:rPr>
        <w:t>测试范围</w:t>
      </w:r>
      <w:bookmarkEnd w:id="1"/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本项目的测试范围包含：</w:t>
      </w:r>
    </w:p>
    <w:p>
      <w:pPr>
        <w:numPr>
          <w:ilvl w:val="0"/>
          <w:numId w:val="2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功能测试：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(1)对数据报表信息的增、删、改、查；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(2)能导出数据报表；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(3)能根据选定条件查询数据信息；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(4)能对数据显示各种图表分析；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(5)调整权限管理；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(6)短信息的交互；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验证数据精确度、数据类型、业务功能等相关方面的正确性，此测试涉及企业用户功能和省用户功能。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numPr>
          <w:ilvl w:val="0"/>
          <w:numId w:val="2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性能测试：</w:t>
      </w:r>
    </w:p>
    <w:p>
      <w:pPr>
        <w:numPr>
          <w:ilvl w:val="0"/>
          <w:numId w:val="3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一次数据交换的响应时间：平均1s，最大5s;</w:t>
      </w:r>
    </w:p>
    <w:p>
      <w:pPr>
        <w:numPr>
          <w:ilvl w:val="0"/>
          <w:numId w:val="3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个人数据交换流量：100kb；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(3)大量流的数据与多用户操作时性能方面的测试；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(4)在网络基本稳定时(下载、上传速度均能达到20kB/s)，网站能正常运行，不会出现较长时间的延迟现象；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numPr>
          <w:ilvl w:val="0"/>
          <w:numId w:val="2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安全性与访问控制测试：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(1)做到企业信息保密，系统只能展示其基本信息，上传的报表也只能通过审批后才能进行展示；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(2)权限：权限设置不同，企业无权修改其他企业的报表信息；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(3)密码：登录等；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(4)非法攻击；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(5)登录超时限制；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此测试涉及省用户功能。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d.UI测试：</w:t>
      </w:r>
    </w:p>
    <w:p>
      <w:pPr>
        <w:numPr>
          <w:ilvl w:val="0"/>
          <w:numId w:val="4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导航、链接、cookie、页面结构包括菜单、背景、颜色、字体、按钮名称、title、提示信息的一致性等；</w:t>
      </w:r>
    </w:p>
    <w:p>
      <w:pPr>
        <w:numPr>
          <w:ilvl w:val="0"/>
          <w:numId w:val="4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友好性、可操作性这（易用性）；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e.兼容性测试：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(1)使用不同版本的不同浏览器、分辨率、操作系统分别进行测试；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(2)不同操作系统、浏览器、分辨率和各种运行软件等各种条件的组合测试；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f.回归测试：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所有功能、性能、用户界面、兼容性、安全性与访问控制等测试类型；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2" w:name="_Toc286844662"/>
      <w:r>
        <w:rPr>
          <w:rFonts w:hint="eastAsia" w:ascii="微软雅黑" w:hAnsi="微软雅黑" w:eastAsia="微软雅黑"/>
        </w:rPr>
        <w:t>测试目标</w:t>
      </w:r>
      <w:bookmarkEnd w:id="2"/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a.功能方面：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核实所有功能均已正常实现。</w:t>
      </w:r>
    </w:p>
    <w:p>
      <w:pPr>
        <w:numPr>
          <w:ilvl w:val="0"/>
          <w:numId w:val="5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业务流程检验：各个业务流程符合常规逻辑，用户使用时不会产生疑问；</w:t>
      </w:r>
    </w:p>
    <w:p>
      <w:pPr>
        <w:numPr>
          <w:ilvl w:val="0"/>
          <w:numId w:val="5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数据精确：各数据类型的输入输出时统计精确；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b.性能方面：</w:t>
      </w:r>
    </w:p>
    <w:p>
      <w:pPr>
        <w:numPr>
          <w:ilvl w:val="0"/>
          <w:numId w:val="0"/>
        </w:num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核实系统在大流量的数据与多用户操作时软件性能的稳定性，不造成系统崩溃或相关的异常现象；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0000CC"/>
        </w:rPr>
      </w:pP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c.UI方面：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核实各个窗口风格（包括颜色、字体、提示信息、图标、title等）都与基准版本保持一致，或符合可接受标准，能够保证用户界面的友好性、易操作性，而且符合用户操作习惯。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d.安全性方面：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(1)应用系程序级别的安全性：核实用户只能操作其所拥有权限能操作的功能；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(2)系统级别的安全性：核实只有具备系统访问权限的用户才能访问系统；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e.兼容性方面：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核实系统在不同的软件和硬件配置中运行稳定；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f.回归测试：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  <w:r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  <w:t>核实执行所有测试类型后功能、性能等均达到用户需求所要求的标准；</w:t>
      </w:r>
    </w:p>
    <w:p>
      <w:pPr>
        <w:snapToGrid w:val="0"/>
        <w:rPr>
          <w:rFonts w:hint="eastAsia" w:ascii="微软雅黑" w:hAnsi="微软雅黑" w:eastAsia="微软雅黑"/>
          <w:i w:val="0"/>
          <w:iCs/>
          <w:color w:val="auto"/>
          <w:lang w:val="en-US" w:eastAsia="zh-CN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3" w:name="_Toc286844663"/>
      <w:r>
        <w:rPr>
          <w:rFonts w:hint="eastAsia" w:ascii="微软雅黑" w:hAnsi="微软雅黑" w:eastAsia="微软雅黑"/>
        </w:rPr>
        <w:t>风险和约束</w:t>
      </w:r>
      <w:bookmarkEnd w:id="3"/>
    </w:p>
    <w:p>
      <w:p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项目开发过程中的风险：</w:t>
      </w:r>
    </w:p>
    <w:p>
      <w:pPr>
        <w:numPr>
          <w:ilvl w:val="0"/>
          <w:numId w:val="6"/>
        </w:num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测试时间压缩计划：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预防及补救方案：延长工作时间，增加人力，提高工作效率；</w:t>
      </w:r>
    </w:p>
    <w:p>
      <w:p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b.测试过程中测试工具和测试管理平台发生软硬件问题：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预防及补救方案：协调相关资源；</w:t>
      </w:r>
    </w:p>
    <w:p>
      <w:p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c测试人员身兼多职：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预防及补救方案：调配其他组人员来协助相关测试；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设计约束：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a.需要安装浏览器；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  <w:r>
        <w:rPr>
          <w:rFonts w:hint="eastAsia" w:ascii="微软雅黑" w:hAnsi="微软雅黑" w:eastAsia="微软雅黑"/>
          <w:color w:val="auto"/>
          <w:lang w:val="en-US" w:eastAsia="zh-CN"/>
        </w:rPr>
        <w:t>b.需要连接网络；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color w:val="auto"/>
          <w:lang w:val="en-US" w:eastAsia="zh-CN"/>
        </w:rPr>
      </w:pPr>
    </w:p>
    <w:p>
      <w:pPr>
        <w:pStyle w:val="3"/>
        <w:spacing w:before="0" w:after="0" w:line="240" w:lineRule="atLeast"/>
        <w:ind w:left="578" w:hanging="578"/>
        <w:rPr>
          <w:rFonts w:hint="eastAsia" w:ascii="微软雅黑" w:hAnsi="微软雅黑" w:eastAsia="微软雅黑"/>
        </w:rPr>
      </w:pPr>
      <w:bookmarkStart w:id="4" w:name="_Toc286844664"/>
      <w:r>
        <w:rPr>
          <w:rFonts w:hint="eastAsia" w:ascii="微软雅黑" w:hAnsi="微软雅黑" w:eastAsia="微软雅黑"/>
        </w:rPr>
        <w:t>测试进度</w:t>
      </w:r>
      <w:bookmarkEnd w:id="4"/>
    </w:p>
    <w:p>
      <w:pPr>
        <w:snapToGrid w:val="0"/>
        <w:rPr>
          <w:rFonts w:ascii="微软雅黑" w:hAnsi="微软雅黑" w:eastAsia="微软雅黑"/>
          <w:b w:val="0"/>
          <w:bCs w:val="0"/>
          <w:i w:val="0"/>
          <w:iCs/>
          <w:color w:val="auto"/>
        </w:rPr>
      </w:pPr>
      <w:r>
        <w:rPr>
          <w:rFonts w:hint="eastAsia" w:ascii="微软雅黑" w:hAnsi="微软雅黑" w:eastAsia="微软雅黑"/>
          <w:b w:val="0"/>
          <w:bCs w:val="0"/>
          <w:i w:val="0"/>
          <w:iCs/>
          <w:color w:val="auto"/>
        </w:rPr>
        <w:t>说明：在此章节，对各阶段的测试给出里程碑计划，包括阶段、里程碑、资源等。表格中是否里程碑，如果是里程碑填写“√”，不是无需填写。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660"/>
        <w:gridCol w:w="1217"/>
        <w:gridCol w:w="2226"/>
        <w:gridCol w:w="11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D9D9D9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测试阶段</w:t>
            </w:r>
          </w:p>
        </w:tc>
        <w:tc>
          <w:tcPr>
            <w:tcW w:w="1660" w:type="dxa"/>
            <w:shd w:val="clear" w:color="auto" w:fill="D9D9D9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开始时间</w:t>
            </w:r>
          </w:p>
        </w:tc>
        <w:tc>
          <w:tcPr>
            <w:tcW w:w="1217" w:type="dxa"/>
            <w:shd w:val="clear" w:color="auto" w:fill="D9D9D9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结束时间</w:t>
            </w:r>
          </w:p>
        </w:tc>
        <w:tc>
          <w:tcPr>
            <w:tcW w:w="2226" w:type="dxa"/>
            <w:shd w:val="clear" w:color="auto" w:fill="D9D9D9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资源</w:t>
            </w:r>
          </w:p>
        </w:tc>
        <w:tc>
          <w:tcPr>
            <w:tcW w:w="1184" w:type="dxa"/>
            <w:shd w:val="clear" w:color="auto" w:fill="D9D9D9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是否里程碑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系统测试计划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2016.4.1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2016.4.5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概要设计说明书、需求规格说明书、项目设计规范v1.0</w:t>
            </w:r>
          </w:p>
        </w:tc>
        <w:tc>
          <w:tcPr>
            <w:tcW w:w="1184" w:type="dxa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i w:val="0"/>
                <w:iCs/>
                <w:color w:val="auto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测试用例编写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2016.4.2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2016.4.3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系统测试计划、概要设计说明书</w:t>
            </w:r>
          </w:p>
        </w:tc>
        <w:tc>
          <w:tcPr>
            <w:tcW w:w="118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测试用例评审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2016.4.3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2016.4.5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测试用例编写</w:t>
            </w:r>
          </w:p>
        </w:tc>
        <w:tc>
          <w:tcPr>
            <w:tcW w:w="118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单元测试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2016.4.2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2016.4.5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测试用例编写、概要设计说明书、需求规格说明书、项目设计规范v1.0</w:t>
            </w:r>
          </w:p>
        </w:tc>
        <w:tc>
          <w:tcPr>
            <w:tcW w:w="118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用户手册编写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2016.4.5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2016.4.6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需求规格说明书、配置管理计划V1.0</w:t>
            </w:r>
          </w:p>
        </w:tc>
        <w:tc>
          <w:tcPr>
            <w:tcW w:w="1184" w:type="dxa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b w:val="0"/>
                <w:bCs w:val="0"/>
                <w:i w:val="0"/>
                <w:iCs/>
                <w:color w:val="auto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集成测试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2016.4.2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2016.4.5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概要设计说明书、需求规格说明书、项目设计规范v1.0</w:t>
            </w:r>
          </w:p>
        </w:tc>
        <w:tc>
          <w:tcPr>
            <w:tcW w:w="118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2016.4.2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2016.4.5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概要设计说明书、需求规格说明书、项目设计规范v1.0</w:t>
            </w:r>
          </w:p>
        </w:tc>
        <w:tc>
          <w:tcPr>
            <w:tcW w:w="1184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系统测试报告编写</w:t>
            </w:r>
          </w:p>
        </w:tc>
        <w:tc>
          <w:tcPr>
            <w:tcW w:w="1660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2016.4.5</w:t>
            </w:r>
          </w:p>
        </w:tc>
        <w:tc>
          <w:tcPr>
            <w:tcW w:w="1217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2016.4.6</w:t>
            </w:r>
          </w:p>
        </w:tc>
        <w:tc>
          <w:tcPr>
            <w:tcW w:w="2226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系统测试计划、系统测试、集成测试、单元测试、测试用例编写、测试用例评审</w:t>
            </w:r>
          </w:p>
        </w:tc>
        <w:tc>
          <w:tcPr>
            <w:tcW w:w="1184" w:type="dxa"/>
            <w:vAlign w:val="top"/>
          </w:tcPr>
          <w:p>
            <w:pPr>
              <w:jc w:val="center"/>
            </w:pPr>
            <w:r>
              <w:rPr>
                <w:rFonts w:hint="eastAsia" w:ascii="微软雅黑" w:hAnsi="微软雅黑" w:eastAsia="微软雅黑"/>
                <w:b w:val="0"/>
                <w:bCs w:val="0"/>
                <w:i w:val="0"/>
                <w:iCs/>
                <w:color w:val="auto"/>
              </w:rPr>
              <w:t>√</w:t>
            </w:r>
          </w:p>
        </w:tc>
      </w:tr>
    </w:tbl>
    <w:p>
      <w:pPr>
        <w:snapToGrid w:val="0"/>
        <w:rPr>
          <w:rFonts w:ascii="微软雅黑" w:hAnsi="微软雅黑" w:eastAsia="微软雅黑"/>
          <w:i/>
          <w:color w:val="0000CC"/>
        </w:rPr>
      </w:pPr>
    </w:p>
    <w:p>
      <w:pPr/>
      <w:r>
        <w:rPr>
          <w:rFonts w:hint="eastAsia"/>
        </w:rPr>
        <w:t> 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529949">
    <w:nsid w:val="56EF669D"/>
    <w:multiLevelType w:val="singleLevel"/>
    <w:tmpl w:val="56EF669D"/>
    <w:lvl w:ilvl="0" w:tentative="1">
      <w:start w:val="1"/>
      <w:numFmt w:val="lowerLetter"/>
      <w:suff w:val="nothing"/>
      <w:lvlText w:val="%1."/>
      <w:lvlJc w:val="left"/>
    </w:lvl>
  </w:abstractNum>
  <w:abstractNum w:abstractNumId="1458530337">
    <w:nsid w:val="56EF6821"/>
    <w:multiLevelType w:val="singleLevel"/>
    <w:tmpl w:val="56EF6821"/>
    <w:lvl w:ilvl="0" w:tentative="1">
      <w:start w:val="1"/>
      <w:numFmt w:val="decimal"/>
      <w:suff w:val="nothing"/>
      <w:lvlText w:val="(%1)"/>
      <w:lvlJc w:val="left"/>
    </w:lvl>
  </w:abstractNum>
  <w:abstractNum w:abstractNumId="1458531371">
    <w:nsid w:val="56EF6C2B"/>
    <w:multiLevelType w:val="singleLevel"/>
    <w:tmpl w:val="56EF6C2B"/>
    <w:lvl w:ilvl="0" w:tentative="1">
      <w:start w:val="1"/>
      <w:numFmt w:val="decimal"/>
      <w:suff w:val="nothing"/>
      <w:lvlText w:val="(%1)"/>
      <w:lvlJc w:val="left"/>
    </w:lvl>
  </w:abstractNum>
  <w:abstractNum w:abstractNumId="1458531993">
    <w:nsid w:val="56EF6E99"/>
    <w:multiLevelType w:val="singleLevel"/>
    <w:tmpl w:val="56EF6E99"/>
    <w:lvl w:ilvl="0" w:tentative="1">
      <w:start w:val="1"/>
      <w:numFmt w:val="lowerLetter"/>
      <w:suff w:val="nothing"/>
      <w:lvlText w:val="%1."/>
      <w:lvlJc w:val="left"/>
    </w:lvl>
  </w:abstractNum>
  <w:abstractNum w:abstractNumId="77875477">
    <w:nsid w:val="04A44915"/>
    <w:multiLevelType w:val="multilevel"/>
    <w:tmpl w:val="04A44915"/>
    <w:lvl w:ilvl="0" w:tentative="1">
      <w:start w:val="1"/>
      <w:numFmt w:val="decimal"/>
      <w:pStyle w:val="2"/>
      <w:lvlText w:val="%1"/>
      <w:lvlJc w:val="left"/>
      <w:pPr>
        <w:ind w:left="2417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58530969">
    <w:nsid w:val="56EF6A99"/>
    <w:multiLevelType w:val="singleLevel"/>
    <w:tmpl w:val="56EF6A99"/>
    <w:lvl w:ilvl="0" w:tentative="1">
      <w:start w:val="1"/>
      <w:numFmt w:val="decimal"/>
      <w:suff w:val="nothing"/>
      <w:lvlText w:val="(%1)"/>
      <w:lvlJc w:val="left"/>
    </w:lvl>
  </w:abstractNum>
  <w:num w:numId="1">
    <w:abstractNumId w:val="77875477"/>
  </w:num>
  <w:num w:numId="2">
    <w:abstractNumId w:val="1458529949"/>
  </w:num>
  <w:num w:numId="3">
    <w:abstractNumId w:val="1458530337"/>
  </w:num>
  <w:num w:numId="4">
    <w:abstractNumId w:val="1458530969"/>
  </w:num>
  <w:num w:numId="5">
    <w:abstractNumId w:val="1458531371"/>
  </w:num>
  <w:num w:numId="6">
    <w:abstractNumId w:val="14585319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90ED4"/>
    <w:rsid w:val="053F2379"/>
    <w:rsid w:val="0E0A4402"/>
    <w:rsid w:val="12C06363"/>
    <w:rsid w:val="13E37D32"/>
    <w:rsid w:val="17AE00EC"/>
    <w:rsid w:val="180F096B"/>
    <w:rsid w:val="1BDB3D8E"/>
    <w:rsid w:val="1D7823FB"/>
    <w:rsid w:val="1E1E7245"/>
    <w:rsid w:val="215909B3"/>
    <w:rsid w:val="22626BDA"/>
    <w:rsid w:val="22CA3701"/>
    <w:rsid w:val="22E056EA"/>
    <w:rsid w:val="252A3BB2"/>
    <w:rsid w:val="32955546"/>
    <w:rsid w:val="3C662AFF"/>
    <w:rsid w:val="3CC21823"/>
    <w:rsid w:val="44EE7E9F"/>
    <w:rsid w:val="4DA82551"/>
    <w:rsid w:val="4FD81A2D"/>
    <w:rsid w:val="551E5C16"/>
    <w:rsid w:val="5D17388B"/>
    <w:rsid w:val="64102F26"/>
    <w:rsid w:val="643C3B4B"/>
    <w:rsid w:val="675B2886"/>
    <w:rsid w:val="68C55998"/>
    <w:rsid w:val="6D9333AA"/>
    <w:rsid w:val="71513C8D"/>
    <w:rsid w:val="73B50ABF"/>
    <w:rsid w:val="74521064"/>
    <w:rsid w:val="7C116E60"/>
    <w:rsid w:val="7C6D56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sks</dc:creator>
  <cp:lastModifiedBy>sks</cp:lastModifiedBy>
  <dcterms:modified xsi:type="dcterms:W3CDTF">2016-03-21T05:39:17Z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