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2"/>
        <w:tabs>
          <w:tab w:val="left" w:pos="960"/>
        </w:tabs>
        <w:spacing w:before="326" w:after="652"/>
        <w:rPr>
          <w:rFonts w:hint="eastAsia" w:eastAsia="楷体_GB2312"/>
          <w:sz w:val="44"/>
        </w:rPr>
      </w:pPr>
      <w:bookmarkStart w:id="0" w:name="_Toc153040565"/>
      <w:r>
        <w:rPr>
          <w:rFonts w:hint="eastAsia" w:eastAsia="楷体_GB2312"/>
          <w:sz w:val="44"/>
        </w:rPr>
        <w:t>诚 信 声 明</w:t>
      </w:r>
      <w:bookmarkEnd w:id="0"/>
    </w:p>
    <w:p>
      <w:pPr>
        <w:rPr>
          <w:rFonts w:eastAsia="楷体_GB2312"/>
        </w:rPr>
      </w:pPr>
    </w:p>
    <w:p>
      <w:pPr>
        <w:pStyle w:val="17"/>
        <w:spacing w:line="360" w:lineRule="auto"/>
        <w:ind w:firstLine="600"/>
        <w:rPr>
          <w:rFonts w:hint="eastAsia" w:ascii="宋体" w:hAnsi="宋体" w:eastAsia="楷体_GB2312"/>
          <w:sz w:val="30"/>
          <w:szCs w:val="30"/>
        </w:rPr>
      </w:pPr>
      <w:r>
        <w:rPr>
          <w:rFonts w:hint="eastAsia" w:ascii="宋体" w:hAnsi="宋体" w:eastAsia="楷体_GB2312"/>
          <w:sz w:val="30"/>
          <w:szCs w:val="30"/>
        </w:rPr>
        <w:t>我声明，所呈交的毕业论文是本人在老师指导下进行的研究工作及取得的研究成果。据我查证，除了文中特别加以标注和致谢的地方外，论文中不包含其他人已经发表或撰写过的研究成果，也不包含为获得其他教育机构的学位或证书而使用过的材料。我承诺，论文中的所有内容均真实、可信。</w:t>
      </w:r>
    </w:p>
    <w:p>
      <w:pPr>
        <w:rPr>
          <w:rFonts w:hint="eastAsia" w:ascii="宋体" w:hAnsi="宋体" w:eastAsia="楷体_GB2312"/>
        </w:rPr>
      </w:pPr>
    </w:p>
    <w:p>
      <w:pPr>
        <w:rPr>
          <w:rFonts w:hint="eastAsia" w:ascii="宋体" w:hAnsi="宋体" w:eastAsia="楷体_GB2312"/>
        </w:rPr>
      </w:pPr>
    </w:p>
    <w:p>
      <w:pPr>
        <w:rPr>
          <w:rFonts w:hint="eastAsia" w:ascii="宋体" w:hAnsi="宋体" w:eastAsia="楷体_GB2312"/>
        </w:rPr>
      </w:pPr>
    </w:p>
    <w:p>
      <w:pPr>
        <w:rPr>
          <w:rFonts w:ascii="宋体" w:hAnsi="宋体" w:eastAsia="楷体_GB2312"/>
        </w:rPr>
      </w:pPr>
    </w:p>
    <w:p>
      <w:pPr>
        <w:rPr>
          <w:rFonts w:eastAsia="楷体_GB2312"/>
          <w:sz w:val="30"/>
          <w:szCs w:val="30"/>
        </w:rPr>
      </w:pPr>
      <w:r>
        <w:rPr>
          <w:rFonts w:hint="eastAsia" w:ascii="宋体" w:hAnsi="宋体" w:eastAsia="楷体_GB2312"/>
          <w:sz w:val="30"/>
          <w:szCs w:val="30"/>
        </w:rPr>
        <w:t>毕业论文作者签名：              签名日期：  年  月  日</w:t>
      </w:r>
    </w:p>
    <w:p>
      <w:r>
        <w:br w:type="page"/>
      </w:r>
    </w:p>
    <w:p>
      <w:pPr>
        <w:pStyle w:val="22"/>
        <w:spacing w:before="326" w:after="652"/>
        <w:outlineLvl w:val="0"/>
        <w:rPr>
          <w:rFonts w:hint="eastAsia"/>
        </w:rPr>
      </w:pPr>
      <w:bookmarkStart w:id="1" w:name="_Toc32498"/>
      <w:r>
        <w:rPr>
          <w:rFonts w:hint="eastAsia"/>
          <w:lang w:val="en-US" w:eastAsia="zh-CN"/>
        </w:rPr>
        <w:t>用于LLM的专业数据集设计</w:t>
      </w:r>
      <w:bookmarkEnd w:id="1"/>
      <w:r>
        <w:rPr>
          <w:rFonts w:hint="eastAsia"/>
        </w:rPr>
        <w:t xml:space="preserve"> </w:t>
      </w:r>
    </w:p>
    <w:p>
      <w:pPr>
        <w:ind w:firstLine="434"/>
        <w:rPr>
          <w:rFonts w:hint="default" w:eastAsia="宋体"/>
          <w:color w:val="FF0000"/>
          <w:lang w:val="en-US" w:eastAsia="zh-CN"/>
        </w:rPr>
      </w:pPr>
      <w:r>
        <w:rPr>
          <w:rFonts w:hint="eastAsia"/>
        </w:rPr>
        <w:t xml:space="preserve"> </w:t>
      </w:r>
      <w:r>
        <w:rPr>
          <w:rFonts w:hint="eastAsia"/>
          <w:b/>
        </w:rPr>
        <w:t>[摘 要]</w:t>
      </w:r>
      <w:r>
        <w:rPr>
          <w:rFonts w:hint="eastAsia"/>
        </w:rPr>
        <w:t xml:space="preserve"> </w:t>
      </w:r>
      <w:r>
        <w:rPr>
          <w:rFonts w:hint="eastAsia"/>
          <w:lang w:val="en-US" w:eastAsia="zh-CN"/>
        </w:rPr>
        <w:t>[本论文全面探讨了为大型语言模型（LLMs）设计专业化数据集的重要性与方法，专注于化学领域。文章首先介绍了数据集设计的流程，包括数据收集、处理及质量控制，以确保数据集能支持模型在专业领域的准确预训练和微调。随后，通过实例验证数据集的多样性、代表性和准确性，确保其质量符合高标准。在预测结果评估部分，探讨了包括BLEU、ROUGE在内的多种评估指标，并引入了基于语义的评估方法如余弦相似度和SAS，以优化和验证模型输出的实用性和精确性。本研究不仅系统地提供了数据集设计和评估的综合指南，还突显了在专业领域应用LLM的复杂性和挑战，为相关领域的深入研究和实践提供了宝贵的参考。]</w:t>
      </w:r>
    </w:p>
    <w:p/>
    <w:p>
      <w:pPr>
        <w:ind w:firstLine="434"/>
        <w:rPr>
          <w:rFonts w:hint="eastAsia"/>
        </w:rPr>
      </w:pPr>
      <w:r>
        <w:rPr>
          <w:rFonts w:hint="eastAsia"/>
          <w:b/>
        </w:rPr>
        <w:t>[关键词]</w:t>
      </w:r>
      <w:r>
        <w:rPr>
          <w:rFonts w:hint="eastAsia"/>
        </w:rPr>
        <w:t xml:space="preserve">  </w:t>
      </w:r>
      <w:r>
        <w:rPr>
          <w:rFonts w:hint="eastAsia"/>
          <w:lang w:val="en-US" w:eastAsia="zh-CN"/>
        </w:rPr>
        <w:t>大语言模型</w:t>
      </w:r>
      <w:r>
        <w:rPr>
          <w:rFonts w:hint="eastAsia"/>
        </w:rPr>
        <w:t>；</w:t>
      </w:r>
      <w:r>
        <w:rPr>
          <w:rFonts w:hint="eastAsia"/>
          <w:lang w:val="en-US" w:eastAsia="zh-CN"/>
        </w:rPr>
        <w:t>数据集设计</w:t>
      </w:r>
      <w:r>
        <w:rPr>
          <w:rFonts w:hint="eastAsia"/>
        </w:rPr>
        <w:t>；</w:t>
      </w:r>
      <w:r>
        <w:rPr>
          <w:rFonts w:hint="eastAsia"/>
          <w:lang w:val="en-US" w:eastAsia="zh-CN"/>
        </w:rPr>
        <w:t>预测结果评估</w:t>
      </w:r>
      <w:r>
        <w:rPr>
          <w:rFonts w:hint="eastAsia"/>
        </w:rPr>
        <w:t xml:space="preserve">     </w:t>
      </w:r>
    </w:p>
    <w:p/>
    <w:p/>
    <w:p/>
    <w:p/>
    <w:p/>
    <w:p/>
    <w:p/>
    <w:p>
      <w:pPr>
        <w:rPr>
          <w:rFonts w:hint="eastAsia"/>
          <w:lang w:eastAsia="zh-CN"/>
        </w:rPr>
      </w:pPr>
    </w:p>
    <w:p>
      <w:pPr>
        <w:pStyle w:val="22"/>
        <w:spacing w:before="326" w:after="652"/>
        <w:rPr>
          <w:rFonts w:hint="default"/>
          <w:lang w:val="en-US" w:eastAsia="zh-CN"/>
        </w:rPr>
      </w:pPr>
      <w:r>
        <w:t>Professional data set design for LLM</w:t>
      </w:r>
    </w:p>
    <w:p>
      <w:pPr>
        <w:ind w:firstLine="434"/>
        <w:rPr>
          <w:rFonts w:hint="eastAsia"/>
          <w:b/>
          <w:lang w:val="en-US" w:eastAsia="zh-CN"/>
        </w:rPr>
      </w:pPr>
      <w:r>
        <w:rPr>
          <w:b/>
        </w:rPr>
        <w:t>Abstract</w:t>
      </w:r>
      <w:r>
        <w:rPr>
          <w:rFonts w:hint="eastAsia"/>
          <w:b/>
        </w:rPr>
        <w:t>：</w:t>
      </w:r>
      <w:r>
        <w:rPr>
          <w:rFonts w:hint="eastAsia"/>
          <w:b/>
          <w:lang w:val="en-US" w:eastAsia="zh-CN"/>
        </w:rPr>
        <w:t>[</w:t>
      </w:r>
      <w:r>
        <w:rPr>
          <w:rFonts w:hint="eastAsia"/>
          <w:color w:val="000000"/>
        </w:rPr>
        <w:t>This thesis comprehensively discusses the importance and methods of designing specialized datasets for large language models (LLMs), focusing on the field of chemistry. The article first introduces the process of dataset design, including data collection, processing, and quality control, to ensure the dataset supports accurate pre-training and fine-tuning of the model in specialized fields. Subsequently, the diversity, representativeness, and accuracy of the dataset are verified through examples to ensure its quality meets high standards. In the section on predicting results assessment, the paper explores various evaluation metrics including BLEU and ROUGE, and introduces semantic-based assessment methods such as cosine similarity and SAS, to optimize and validate the practicality and accuracy of the model outputs. This study not only systematically provides a comprehensive guide to dataset design and evaluation but also highlights the complexities and challenges of applying LLMs in professional fields, offering valuable references for in-depth research and practice in related areas.</w:t>
      </w:r>
      <w:r>
        <w:rPr>
          <w:rFonts w:hint="eastAsia"/>
          <w:b/>
          <w:lang w:val="en-US" w:eastAsia="zh-CN"/>
        </w:rPr>
        <w:t>]</w:t>
      </w:r>
    </w:p>
    <w:p>
      <w:pPr>
        <w:ind w:firstLine="434"/>
        <w:rPr>
          <w:rFonts w:hint="eastAsia"/>
          <w:b/>
          <w:lang w:val="en-US" w:eastAsia="zh-CN"/>
        </w:rPr>
      </w:pPr>
    </w:p>
    <w:p>
      <w:pPr>
        <w:ind w:firstLine="434"/>
      </w:pPr>
      <w:r>
        <w:rPr>
          <w:b/>
        </w:rPr>
        <w:t>Keywords</w:t>
      </w:r>
      <w:r>
        <w:rPr>
          <w:rFonts w:hint="eastAsia"/>
          <w:b/>
          <w:lang w:eastAsia="zh-CN"/>
        </w:rPr>
        <w:t>：</w:t>
      </w:r>
      <w:r>
        <w:rPr>
          <w:rFonts w:hint="eastAsia"/>
          <w:lang w:val="en-US" w:eastAsia="zh-CN"/>
        </w:rPr>
        <w:t xml:space="preserve">Large Language Models；Dataset Design；Prediction Results Assessment     </w:t>
      </w:r>
    </w:p>
    <w:p>
      <w:pPr>
        <w:numPr>
          <w:ilvl w:val="0"/>
          <w:numId w:val="0"/>
        </w:numPr>
        <w:ind w:leftChars="0"/>
        <w:jc w:val="both"/>
        <w:rPr>
          <w:rFonts w:hint="default" w:cs="Times New Roman"/>
          <w:b/>
          <w:kern w:val="2"/>
          <w:sz w:val="36"/>
          <w:szCs w:val="36"/>
          <w:lang w:val="en-US" w:eastAsia="zh-CN" w:bidi="ar-SA"/>
        </w:rPr>
      </w:pPr>
    </w:p>
    <w:sdt>
      <w:sdtPr>
        <w:rPr>
          <w:rFonts w:ascii="宋体" w:hAnsi="宋体" w:eastAsia="宋体" w:cs="Times New Roman"/>
          <w:kern w:val="2"/>
          <w:sz w:val="21"/>
          <w:szCs w:val="28"/>
          <w:lang w:val="en-US" w:eastAsia="zh-CN" w:bidi="ar-SA"/>
        </w:rPr>
        <w:id w:val="147470394"/>
        <w15:color w:val="DBDBDB"/>
        <w:docPartObj>
          <w:docPartGallery w:val="Table of Contents"/>
          <w:docPartUnique/>
        </w:docPartObj>
      </w:sdtPr>
      <w:sdtEndPr>
        <w:rPr>
          <w:rFonts w:ascii="宋体" w:hAnsi="宋体" w:eastAsia="宋体" w:cs="Times New Roman"/>
          <w:kern w:val="2"/>
          <w:sz w:val="21"/>
          <w:szCs w:val="28"/>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Times New Roman" w:hAnsi="Times New Roman" w:eastAsia="宋体" w:cs="Times New Roman"/>
              <w:b/>
              <w:kern w:val="2"/>
              <w:sz w:val="36"/>
              <w:szCs w:val="36"/>
              <w:lang w:val="en-US" w:eastAsia="zh-CN" w:bidi="ar-SA"/>
            </w:rPr>
            <w:t>目</w:t>
          </w:r>
          <w:r>
            <w:rPr>
              <w:rFonts w:hint="eastAsia"/>
            </w:rPr>
            <w:t xml:space="preserve">     </w:t>
          </w:r>
          <w:r>
            <w:rPr>
              <w:rFonts w:hint="eastAsia" w:ascii="Times New Roman" w:hAnsi="Times New Roman" w:eastAsia="宋体" w:cs="Times New Roman"/>
              <w:b/>
              <w:kern w:val="2"/>
              <w:sz w:val="36"/>
              <w:szCs w:val="36"/>
              <w:lang w:val="en-US" w:eastAsia="zh-CN" w:bidi="ar-SA"/>
            </w:rPr>
            <w:t>录</w:t>
          </w:r>
          <w:r>
            <w:fldChar w:fldCharType="begin"/>
          </w:r>
          <w:r>
            <w:instrText xml:space="preserve">TOC \o "1-3" \h \u </w:instrText>
          </w:r>
          <w:r>
            <w:fldChar w:fldCharType="separate"/>
          </w:r>
        </w:p>
        <w:p>
          <w:pPr>
            <w:pStyle w:val="14"/>
            <w:tabs>
              <w:tab w:val="right" w:leader="dot" w:pos="8306"/>
            </w:tabs>
          </w:pPr>
          <w:r>
            <w:fldChar w:fldCharType="begin"/>
          </w:r>
          <w:r>
            <w:instrText xml:space="preserve"> HYPERLINK \l _Toc11800 </w:instrText>
          </w:r>
          <w:r>
            <w:fldChar w:fldCharType="separate"/>
          </w:r>
          <w:r>
            <w:rPr>
              <w:rFonts w:hint="default"/>
              <w:lang w:val="en-US" w:eastAsia="zh-CN"/>
            </w:rPr>
            <w:t xml:space="preserve">1. </w:t>
          </w:r>
          <w:r>
            <w:rPr>
              <w:rFonts w:hint="eastAsia"/>
              <w:lang w:val="en-US" w:eastAsia="zh-CN"/>
            </w:rPr>
            <w:t>绪论</w:t>
          </w:r>
          <w:r>
            <w:tab/>
          </w:r>
          <w:r>
            <w:fldChar w:fldCharType="begin"/>
          </w:r>
          <w:r>
            <w:instrText xml:space="preserve"> PAGEREF _Toc11800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_Toc5986 </w:instrText>
          </w:r>
          <w:r>
            <w:fldChar w:fldCharType="separate"/>
          </w:r>
          <w:r>
            <w:rPr>
              <w:rFonts w:hint="default"/>
              <w:szCs w:val="28"/>
              <w:lang w:val="en-US" w:eastAsia="zh-CN"/>
            </w:rPr>
            <w:t xml:space="preserve">1.1. </w:t>
          </w:r>
          <w:r>
            <w:rPr>
              <w:rFonts w:hint="eastAsia"/>
              <w:szCs w:val="28"/>
              <w:lang w:val="en-US" w:eastAsia="zh-CN"/>
            </w:rPr>
            <w:t>研究背景及动机</w:t>
          </w:r>
          <w:r>
            <w:tab/>
          </w:r>
          <w:r>
            <w:fldChar w:fldCharType="begin"/>
          </w:r>
          <w:r>
            <w:instrText xml:space="preserve"> PAGEREF _Toc5986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_Toc5057 </w:instrText>
          </w:r>
          <w:r>
            <w:fldChar w:fldCharType="separate"/>
          </w:r>
          <w:r>
            <w:rPr>
              <w:rFonts w:hint="default"/>
              <w:szCs w:val="28"/>
              <w:lang w:val="en-US" w:eastAsia="zh-CN"/>
            </w:rPr>
            <w:t xml:space="preserve">1.2. </w:t>
          </w:r>
          <w:r>
            <w:rPr>
              <w:rFonts w:hint="eastAsia"/>
              <w:szCs w:val="28"/>
              <w:lang w:val="en-US" w:eastAsia="zh-CN"/>
            </w:rPr>
            <w:t>论文结构概述</w:t>
          </w:r>
          <w:r>
            <w:tab/>
          </w:r>
          <w:r>
            <w:fldChar w:fldCharType="begin"/>
          </w:r>
          <w:r>
            <w:instrText xml:space="preserve"> PAGEREF _Toc5057 \h </w:instrText>
          </w:r>
          <w:r>
            <w:fldChar w:fldCharType="separate"/>
          </w:r>
          <w:r>
            <w:t>7</w:t>
          </w:r>
          <w:r>
            <w:fldChar w:fldCharType="end"/>
          </w:r>
          <w:r>
            <w:fldChar w:fldCharType="end"/>
          </w:r>
        </w:p>
        <w:p>
          <w:pPr>
            <w:pStyle w:val="14"/>
            <w:tabs>
              <w:tab w:val="right" w:leader="dot" w:pos="8306"/>
            </w:tabs>
          </w:pPr>
          <w:r>
            <w:fldChar w:fldCharType="begin"/>
          </w:r>
          <w:r>
            <w:instrText xml:space="preserve"> HYPERLINK \l _Toc24738 </w:instrText>
          </w:r>
          <w:r>
            <w:fldChar w:fldCharType="separate"/>
          </w:r>
          <w:r>
            <w:rPr>
              <w:rFonts w:hint="default"/>
              <w:lang w:val="en-US" w:eastAsia="zh-CN"/>
            </w:rPr>
            <w:t xml:space="preserve">2. </w:t>
          </w:r>
          <w:r>
            <w:rPr>
              <w:rFonts w:hint="eastAsia"/>
              <w:lang w:val="en-US" w:eastAsia="zh-CN"/>
            </w:rPr>
            <w:t>数据集设计</w:t>
          </w:r>
          <w:r>
            <w:tab/>
          </w:r>
          <w:r>
            <w:fldChar w:fldCharType="begin"/>
          </w:r>
          <w:r>
            <w:instrText xml:space="preserve"> PAGEREF _Toc24738 \h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_Toc13299 </w:instrText>
          </w:r>
          <w:r>
            <w:fldChar w:fldCharType="separate"/>
          </w:r>
          <w:r>
            <w:rPr>
              <w:rFonts w:hint="default"/>
              <w:lang w:val="en-US" w:eastAsia="zh-CN"/>
            </w:rPr>
            <w:t xml:space="preserve">2.1. </w:t>
          </w:r>
          <w:r>
            <w:rPr>
              <w:rFonts w:hint="eastAsia"/>
              <w:lang w:val="en-US" w:eastAsia="zh-CN"/>
            </w:rPr>
            <w:t>数据集设计方法概述</w:t>
          </w:r>
          <w:r>
            <w:tab/>
          </w:r>
          <w:r>
            <w:fldChar w:fldCharType="begin"/>
          </w:r>
          <w:r>
            <w:instrText xml:space="preserve"> PAGEREF _Toc13299 \h </w:instrText>
          </w:r>
          <w:r>
            <w:fldChar w:fldCharType="separate"/>
          </w:r>
          <w:r>
            <w:t>9</w:t>
          </w:r>
          <w:r>
            <w:fldChar w:fldCharType="end"/>
          </w:r>
          <w:r>
            <w:fldChar w:fldCharType="end"/>
          </w:r>
        </w:p>
        <w:p>
          <w:pPr>
            <w:pStyle w:val="12"/>
            <w:tabs>
              <w:tab w:val="right" w:leader="dot" w:pos="8306"/>
              <w:tab w:val="clear" w:pos="9061"/>
            </w:tabs>
          </w:pPr>
          <w:r>
            <w:fldChar w:fldCharType="begin"/>
          </w:r>
          <w:r>
            <w:instrText xml:space="preserve"> HYPERLINK \l _Toc19544 </w:instrText>
          </w:r>
          <w:r>
            <w:fldChar w:fldCharType="separate"/>
          </w:r>
          <w:r>
            <w:rPr>
              <w:rFonts w:hint="default"/>
              <w:szCs w:val="30"/>
              <w:lang w:val="en-US" w:eastAsia="zh-CN"/>
            </w:rPr>
            <w:t xml:space="preserve">2.1.1. </w:t>
          </w:r>
          <w:r>
            <w:rPr>
              <w:rFonts w:hint="eastAsia"/>
              <w:szCs w:val="30"/>
              <w:lang w:val="en-US" w:eastAsia="zh-CN"/>
            </w:rPr>
            <w:t>数据收集处理</w:t>
          </w:r>
          <w:r>
            <w:tab/>
          </w:r>
          <w:r>
            <w:fldChar w:fldCharType="begin"/>
          </w:r>
          <w:r>
            <w:instrText xml:space="preserve"> PAGEREF _Toc19544 \h </w:instrText>
          </w:r>
          <w:r>
            <w:fldChar w:fldCharType="separate"/>
          </w:r>
          <w:r>
            <w:t>9</w:t>
          </w:r>
          <w:r>
            <w:fldChar w:fldCharType="end"/>
          </w:r>
          <w:r>
            <w:fldChar w:fldCharType="end"/>
          </w:r>
        </w:p>
        <w:p>
          <w:pPr>
            <w:pStyle w:val="12"/>
            <w:tabs>
              <w:tab w:val="right" w:leader="dot" w:pos="8306"/>
              <w:tab w:val="clear" w:pos="9061"/>
            </w:tabs>
          </w:pPr>
          <w:r>
            <w:fldChar w:fldCharType="begin"/>
          </w:r>
          <w:r>
            <w:instrText xml:space="preserve"> HYPERLINK \l _Toc19340 </w:instrText>
          </w:r>
          <w:r>
            <w:fldChar w:fldCharType="separate"/>
          </w:r>
          <w:r>
            <w:rPr>
              <w:rFonts w:hint="default"/>
              <w:szCs w:val="30"/>
              <w:lang w:val="en-US" w:eastAsia="zh-CN"/>
            </w:rPr>
            <w:t xml:space="preserve">2.1.2. </w:t>
          </w:r>
          <w:r>
            <w:rPr>
              <w:rFonts w:hint="eastAsia"/>
              <w:szCs w:val="30"/>
              <w:lang w:val="en-US" w:eastAsia="zh-CN"/>
            </w:rPr>
            <w:t>数据质量和预测结果评估</w:t>
          </w:r>
          <w:r>
            <w:tab/>
          </w:r>
          <w:r>
            <w:fldChar w:fldCharType="begin"/>
          </w:r>
          <w:r>
            <w:instrText xml:space="preserve"> PAGEREF _Toc19340 \h </w:instrText>
          </w:r>
          <w:r>
            <w:fldChar w:fldCharType="separate"/>
          </w:r>
          <w:r>
            <w:t>10</w:t>
          </w:r>
          <w:r>
            <w:fldChar w:fldCharType="end"/>
          </w:r>
          <w:r>
            <w:fldChar w:fldCharType="end"/>
          </w:r>
        </w:p>
        <w:p>
          <w:pPr>
            <w:pStyle w:val="12"/>
            <w:tabs>
              <w:tab w:val="right" w:leader="dot" w:pos="8306"/>
              <w:tab w:val="clear" w:pos="9061"/>
            </w:tabs>
          </w:pPr>
          <w:r>
            <w:fldChar w:fldCharType="begin"/>
          </w:r>
          <w:r>
            <w:instrText xml:space="preserve"> HYPERLINK \l _Toc13939 </w:instrText>
          </w:r>
          <w:r>
            <w:fldChar w:fldCharType="separate"/>
          </w:r>
          <w:r>
            <w:rPr>
              <w:rFonts w:hint="default"/>
              <w:szCs w:val="30"/>
              <w:lang w:val="en-US" w:eastAsia="zh-CN"/>
            </w:rPr>
            <w:t xml:space="preserve">2.1.3. </w:t>
          </w:r>
          <w:r>
            <w:rPr>
              <w:rFonts w:hint="eastAsia"/>
              <w:szCs w:val="30"/>
              <w:lang w:val="en-US" w:eastAsia="zh-CN"/>
            </w:rPr>
            <w:t>数据维护</w:t>
          </w:r>
          <w:r>
            <w:tab/>
          </w:r>
          <w:r>
            <w:fldChar w:fldCharType="begin"/>
          </w:r>
          <w:r>
            <w:instrText xml:space="preserve"> PAGEREF _Toc13939 \h </w:instrText>
          </w:r>
          <w:r>
            <w:fldChar w:fldCharType="separate"/>
          </w:r>
          <w:r>
            <w:t>11</w:t>
          </w:r>
          <w:r>
            <w:fldChar w:fldCharType="end"/>
          </w:r>
          <w:r>
            <w:fldChar w:fldCharType="end"/>
          </w:r>
        </w:p>
        <w:p>
          <w:pPr>
            <w:pStyle w:val="15"/>
            <w:tabs>
              <w:tab w:val="right" w:leader="dot" w:pos="8306"/>
            </w:tabs>
          </w:pPr>
          <w:r>
            <w:fldChar w:fldCharType="begin"/>
          </w:r>
          <w:r>
            <w:instrText xml:space="preserve"> HYPERLINK \l _Toc14122 </w:instrText>
          </w:r>
          <w:r>
            <w:fldChar w:fldCharType="separate"/>
          </w:r>
          <w:r>
            <w:rPr>
              <w:rFonts w:hint="default"/>
              <w:lang w:val="en-US" w:eastAsia="zh-CN"/>
            </w:rPr>
            <w:t xml:space="preserve">2.2. </w:t>
          </w:r>
          <w:r>
            <w:rPr>
              <w:rFonts w:hint="eastAsia"/>
              <w:lang w:val="en-US" w:eastAsia="zh-CN"/>
            </w:rPr>
            <w:t>语料库设计</w:t>
          </w:r>
          <w:r>
            <w:tab/>
          </w:r>
          <w:r>
            <w:fldChar w:fldCharType="begin"/>
          </w:r>
          <w:r>
            <w:instrText xml:space="preserve"> PAGEREF _Toc14122 \h </w:instrText>
          </w:r>
          <w:r>
            <w:fldChar w:fldCharType="separate"/>
          </w:r>
          <w:r>
            <w:t>12</w:t>
          </w:r>
          <w:r>
            <w:fldChar w:fldCharType="end"/>
          </w:r>
          <w:r>
            <w:fldChar w:fldCharType="end"/>
          </w:r>
        </w:p>
        <w:p>
          <w:pPr>
            <w:pStyle w:val="12"/>
            <w:tabs>
              <w:tab w:val="right" w:leader="dot" w:pos="8306"/>
              <w:tab w:val="clear" w:pos="9061"/>
            </w:tabs>
          </w:pPr>
          <w:r>
            <w:fldChar w:fldCharType="begin"/>
          </w:r>
          <w:r>
            <w:instrText xml:space="preserve"> HYPERLINK \l _Toc16374 </w:instrText>
          </w:r>
          <w:r>
            <w:fldChar w:fldCharType="separate"/>
          </w:r>
          <w:r>
            <w:rPr>
              <w:rFonts w:hint="default"/>
              <w:szCs w:val="30"/>
              <w:lang w:val="en-US" w:eastAsia="zh-CN"/>
            </w:rPr>
            <w:t xml:space="preserve">2.2.1. </w:t>
          </w:r>
          <w:r>
            <w:rPr>
              <w:rFonts w:hint="eastAsia"/>
              <w:szCs w:val="30"/>
              <w:lang w:val="en-US" w:eastAsia="zh-CN"/>
            </w:rPr>
            <w:t>什么是语料库</w:t>
          </w:r>
          <w:r>
            <w:tab/>
          </w:r>
          <w:r>
            <w:fldChar w:fldCharType="begin"/>
          </w:r>
          <w:r>
            <w:instrText xml:space="preserve"> PAGEREF _Toc16374 \h </w:instrText>
          </w:r>
          <w:r>
            <w:fldChar w:fldCharType="separate"/>
          </w:r>
          <w:r>
            <w:t>13</w:t>
          </w:r>
          <w:r>
            <w:fldChar w:fldCharType="end"/>
          </w:r>
          <w:r>
            <w:fldChar w:fldCharType="end"/>
          </w:r>
        </w:p>
        <w:p>
          <w:pPr>
            <w:pStyle w:val="12"/>
            <w:tabs>
              <w:tab w:val="right" w:leader="dot" w:pos="8306"/>
              <w:tab w:val="clear" w:pos="9061"/>
            </w:tabs>
          </w:pPr>
          <w:r>
            <w:fldChar w:fldCharType="begin"/>
          </w:r>
          <w:r>
            <w:instrText xml:space="preserve"> HYPERLINK \l _Toc22314 </w:instrText>
          </w:r>
          <w:r>
            <w:fldChar w:fldCharType="separate"/>
          </w:r>
          <w:r>
            <w:rPr>
              <w:rFonts w:hint="default"/>
              <w:szCs w:val="30"/>
              <w:lang w:val="en-US" w:eastAsia="zh-CN"/>
            </w:rPr>
            <w:t xml:space="preserve">2.2.2. </w:t>
          </w:r>
          <w:r>
            <w:rPr>
              <w:rFonts w:hint="eastAsia"/>
              <w:szCs w:val="30"/>
              <w:lang w:val="en-US" w:eastAsia="zh-CN"/>
            </w:rPr>
            <w:t>化学语料库数据收集</w:t>
          </w:r>
          <w:r>
            <w:tab/>
          </w:r>
          <w:r>
            <w:fldChar w:fldCharType="begin"/>
          </w:r>
          <w:r>
            <w:instrText xml:space="preserve"> PAGEREF _Toc22314 \h </w:instrText>
          </w:r>
          <w:r>
            <w:fldChar w:fldCharType="separate"/>
          </w:r>
          <w:r>
            <w:t>13</w:t>
          </w:r>
          <w:r>
            <w:fldChar w:fldCharType="end"/>
          </w:r>
          <w:r>
            <w:fldChar w:fldCharType="end"/>
          </w:r>
        </w:p>
        <w:p>
          <w:pPr>
            <w:pStyle w:val="12"/>
            <w:tabs>
              <w:tab w:val="right" w:leader="dot" w:pos="8306"/>
              <w:tab w:val="clear" w:pos="9061"/>
            </w:tabs>
          </w:pPr>
          <w:r>
            <w:fldChar w:fldCharType="begin"/>
          </w:r>
          <w:r>
            <w:instrText xml:space="preserve"> HYPERLINK \l _Toc30141 </w:instrText>
          </w:r>
          <w:r>
            <w:fldChar w:fldCharType="separate"/>
          </w:r>
          <w:r>
            <w:rPr>
              <w:rFonts w:hint="default"/>
              <w:szCs w:val="30"/>
              <w:lang w:val="en-US" w:eastAsia="zh-CN"/>
            </w:rPr>
            <w:t xml:space="preserve">2.2.3. </w:t>
          </w:r>
          <w:r>
            <w:rPr>
              <w:rFonts w:hint="eastAsia"/>
              <w:szCs w:val="30"/>
              <w:lang w:val="en-US" w:eastAsia="zh-CN"/>
            </w:rPr>
            <w:t>数据清洗和格式处理</w:t>
          </w:r>
          <w:r>
            <w:tab/>
          </w:r>
          <w:r>
            <w:fldChar w:fldCharType="begin"/>
          </w:r>
          <w:r>
            <w:instrText xml:space="preserve"> PAGEREF _Toc30141 \h </w:instrText>
          </w:r>
          <w:r>
            <w:fldChar w:fldCharType="separate"/>
          </w:r>
          <w:r>
            <w:t>15</w:t>
          </w:r>
          <w:r>
            <w:fldChar w:fldCharType="end"/>
          </w:r>
          <w:r>
            <w:fldChar w:fldCharType="end"/>
          </w:r>
        </w:p>
        <w:p>
          <w:pPr>
            <w:pStyle w:val="15"/>
            <w:tabs>
              <w:tab w:val="right" w:leader="dot" w:pos="8306"/>
            </w:tabs>
          </w:pPr>
          <w:r>
            <w:fldChar w:fldCharType="begin"/>
          </w:r>
          <w:r>
            <w:instrText xml:space="preserve"> HYPERLINK \l _Toc27367 </w:instrText>
          </w:r>
          <w:r>
            <w:fldChar w:fldCharType="separate"/>
          </w:r>
          <w:r>
            <w:rPr>
              <w:rFonts w:hint="default"/>
              <w:lang w:val="en-US" w:eastAsia="zh-CN"/>
            </w:rPr>
            <w:t xml:space="preserve">2.3. </w:t>
          </w:r>
          <w:r>
            <w:rPr>
              <w:rFonts w:hint="eastAsia"/>
              <w:lang w:val="en-US" w:eastAsia="zh-CN"/>
            </w:rPr>
            <w:t>QA数据集设计</w:t>
          </w:r>
          <w:r>
            <w:tab/>
          </w:r>
          <w:r>
            <w:fldChar w:fldCharType="begin"/>
          </w:r>
          <w:r>
            <w:instrText xml:space="preserve"> PAGEREF _Toc27367 \h </w:instrText>
          </w:r>
          <w:r>
            <w:fldChar w:fldCharType="separate"/>
          </w:r>
          <w:r>
            <w:t>17</w:t>
          </w:r>
          <w:r>
            <w:fldChar w:fldCharType="end"/>
          </w:r>
          <w:r>
            <w:fldChar w:fldCharType="end"/>
          </w:r>
        </w:p>
        <w:p>
          <w:pPr>
            <w:pStyle w:val="12"/>
            <w:tabs>
              <w:tab w:val="right" w:leader="dot" w:pos="8306"/>
              <w:tab w:val="clear" w:pos="9061"/>
            </w:tabs>
          </w:pPr>
          <w:r>
            <w:fldChar w:fldCharType="begin"/>
          </w:r>
          <w:r>
            <w:instrText xml:space="preserve"> HYPERLINK \l _Toc29767 </w:instrText>
          </w:r>
          <w:r>
            <w:fldChar w:fldCharType="separate"/>
          </w:r>
          <w:r>
            <w:rPr>
              <w:rFonts w:hint="default"/>
              <w:szCs w:val="30"/>
              <w:lang w:val="en-US" w:eastAsia="zh-CN"/>
            </w:rPr>
            <w:t xml:space="preserve">2.3.1. </w:t>
          </w:r>
          <w:r>
            <w:rPr>
              <w:rFonts w:hint="eastAsia"/>
              <w:szCs w:val="30"/>
              <w:lang w:val="en-US" w:eastAsia="zh-CN"/>
            </w:rPr>
            <w:t>QA数据收集</w:t>
          </w:r>
          <w:r>
            <w:tab/>
          </w:r>
          <w:r>
            <w:fldChar w:fldCharType="begin"/>
          </w:r>
          <w:r>
            <w:instrText xml:space="preserve"> PAGEREF _Toc29767 \h </w:instrText>
          </w:r>
          <w:r>
            <w:fldChar w:fldCharType="separate"/>
          </w:r>
          <w:r>
            <w:t>17</w:t>
          </w:r>
          <w:r>
            <w:fldChar w:fldCharType="end"/>
          </w:r>
          <w:r>
            <w:fldChar w:fldCharType="end"/>
          </w:r>
        </w:p>
        <w:p>
          <w:pPr>
            <w:pStyle w:val="12"/>
            <w:tabs>
              <w:tab w:val="right" w:leader="dot" w:pos="8306"/>
              <w:tab w:val="clear" w:pos="9061"/>
            </w:tabs>
          </w:pPr>
          <w:r>
            <w:fldChar w:fldCharType="begin"/>
          </w:r>
          <w:r>
            <w:instrText xml:space="preserve"> HYPERLINK \l _Toc24196 </w:instrText>
          </w:r>
          <w:r>
            <w:fldChar w:fldCharType="separate"/>
          </w:r>
          <w:r>
            <w:rPr>
              <w:rFonts w:hint="default"/>
              <w:szCs w:val="30"/>
              <w:lang w:val="en-US" w:eastAsia="zh-CN"/>
            </w:rPr>
            <w:t xml:space="preserve">2.3.2. </w:t>
          </w:r>
          <w:r>
            <w:rPr>
              <w:rFonts w:hint="eastAsia"/>
              <w:szCs w:val="30"/>
              <w:lang w:val="en-US" w:eastAsia="zh-CN"/>
            </w:rPr>
            <w:t>QA数据处理</w:t>
          </w:r>
          <w:r>
            <w:tab/>
          </w:r>
          <w:r>
            <w:fldChar w:fldCharType="begin"/>
          </w:r>
          <w:r>
            <w:instrText xml:space="preserve"> PAGEREF _Toc24196 \h </w:instrText>
          </w:r>
          <w:r>
            <w:fldChar w:fldCharType="separate"/>
          </w:r>
          <w:r>
            <w:t>19</w:t>
          </w:r>
          <w:r>
            <w:fldChar w:fldCharType="end"/>
          </w:r>
          <w:r>
            <w:fldChar w:fldCharType="end"/>
          </w:r>
        </w:p>
        <w:p>
          <w:pPr>
            <w:pStyle w:val="14"/>
            <w:tabs>
              <w:tab w:val="right" w:leader="dot" w:pos="8306"/>
            </w:tabs>
          </w:pPr>
          <w:r>
            <w:fldChar w:fldCharType="begin"/>
          </w:r>
          <w:r>
            <w:instrText xml:space="preserve"> HYPERLINK \l _Toc2531 </w:instrText>
          </w:r>
          <w:r>
            <w:fldChar w:fldCharType="separate"/>
          </w:r>
          <w:r>
            <w:rPr>
              <w:rFonts w:hint="default"/>
              <w:lang w:val="en-US" w:eastAsia="zh-CN"/>
            </w:rPr>
            <w:t xml:space="preserve">3. </w:t>
          </w:r>
          <w:r>
            <w:rPr>
              <w:rFonts w:hint="eastAsia"/>
              <w:lang w:val="en-US" w:eastAsia="zh-CN"/>
            </w:rPr>
            <w:t>数据集评估</w:t>
          </w:r>
          <w:r>
            <w:tab/>
          </w:r>
          <w:r>
            <w:fldChar w:fldCharType="begin"/>
          </w:r>
          <w:r>
            <w:instrText xml:space="preserve"> PAGEREF _Toc2531 \h </w:instrText>
          </w:r>
          <w:r>
            <w:fldChar w:fldCharType="separate"/>
          </w:r>
          <w:r>
            <w:t>21</w:t>
          </w:r>
          <w:r>
            <w:fldChar w:fldCharType="end"/>
          </w:r>
          <w:r>
            <w:fldChar w:fldCharType="end"/>
          </w:r>
        </w:p>
        <w:p>
          <w:pPr>
            <w:pStyle w:val="15"/>
            <w:tabs>
              <w:tab w:val="right" w:leader="dot" w:pos="8306"/>
            </w:tabs>
          </w:pPr>
          <w:r>
            <w:fldChar w:fldCharType="begin"/>
          </w:r>
          <w:r>
            <w:instrText xml:space="preserve"> HYPERLINK \l _Toc4592 </w:instrText>
          </w:r>
          <w:r>
            <w:fldChar w:fldCharType="separate"/>
          </w:r>
          <w:r>
            <w:rPr>
              <w:rFonts w:hint="default"/>
              <w:lang w:val="en-US" w:eastAsia="zh-CN"/>
            </w:rPr>
            <w:t xml:space="preserve">3.1. </w:t>
          </w:r>
          <w:r>
            <w:rPr>
              <w:rFonts w:hint="eastAsia"/>
              <w:lang w:val="en-US" w:eastAsia="zh-CN"/>
            </w:rPr>
            <w:t>数据集质量评估方法综述</w:t>
          </w:r>
          <w:r>
            <w:tab/>
          </w:r>
          <w:r>
            <w:fldChar w:fldCharType="begin"/>
          </w:r>
          <w:r>
            <w:instrText xml:space="preserve"> PAGEREF _Toc4592 \h </w:instrText>
          </w:r>
          <w:r>
            <w:fldChar w:fldCharType="separate"/>
          </w:r>
          <w:r>
            <w:t>21</w:t>
          </w:r>
          <w:r>
            <w:fldChar w:fldCharType="end"/>
          </w:r>
          <w:r>
            <w:fldChar w:fldCharType="end"/>
          </w:r>
        </w:p>
        <w:p>
          <w:pPr>
            <w:pStyle w:val="15"/>
            <w:tabs>
              <w:tab w:val="right" w:leader="dot" w:pos="8306"/>
            </w:tabs>
          </w:pPr>
          <w:r>
            <w:fldChar w:fldCharType="begin"/>
          </w:r>
          <w:r>
            <w:instrText xml:space="preserve"> HYPERLINK \l _Toc16890 </w:instrText>
          </w:r>
          <w:r>
            <w:fldChar w:fldCharType="separate"/>
          </w:r>
          <w:r>
            <w:rPr>
              <w:rFonts w:hint="default"/>
              <w:lang w:val="en-US" w:eastAsia="zh-CN"/>
            </w:rPr>
            <w:t xml:space="preserve">3.2. </w:t>
          </w:r>
          <w:r>
            <w:rPr>
              <w:rFonts w:hint="eastAsia"/>
              <w:lang w:val="en-US" w:eastAsia="zh-CN"/>
            </w:rPr>
            <w:t>数据集评估设计与结果</w:t>
          </w:r>
          <w:r>
            <w:tab/>
          </w:r>
          <w:r>
            <w:fldChar w:fldCharType="begin"/>
          </w:r>
          <w:r>
            <w:instrText xml:space="preserve"> PAGEREF _Toc16890 \h </w:instrText>
          </w:r>
          <w:r>
            <w:fldChar w:fldCharType="separate"/>
          </w:r>
          <w:r>
            <w:t>22</w:t>
          </w:r>
          <w:r>
            <w:fldChar w:fldCharType="end"/>
          </w:r>
          <w:r>
            <w:fldChar w:fldCharType="end"/>
          </w:r>
        </w:p>
        <w:p>
          <w:pPr>
            <w:pStyle w:val="12"/>
            <w:tabs>
              <w:tab w:val="right" w:leader="dot" w:pos="8306"/>
              <w:tab w:val="clear" w:pos="9061"/>
            </w:tabs>
          </w:pPr>
          <w:r>
            <w:fldChar w:fldCharType="begin"/>
          </w:r>
          <w:r>
            <w:instrText xml:space="preserve"> HYPERLINK \l _Toc25911 </w:instrText>
          </w:r>
          <w:r>
            <w:fldChar w:fldCharType="separate"/>
          </w:r>
          <w:r>
            <w:rPr>
              <w:rFonts w:hint="default"/>
              <w:szCs w:val="30"/>
              <w:lang w:val="en-US" w:eastAsia="zh-CN"/>
            </w:rPr>
            <w:t xml:space="preserve">3.2.1. </w:t>
          </w:r>
          <w:r>
            <w:rPr>
              <w:rFonts w:hint="eastAsia"/>
              <w:szCs w:val="30"/>
              <w:lang w:val="en-US" w:eastAsia="zh-CN"/>
            </w:rPr>
            <w:t>数据集评估方案</w:t>
          </w:r>
          <w:r>
            <w:tab/>
          </w:r>
          <w:r>
            <w:fldChar w:fldCharType="begin"/>
          </w:r>
          <w:r>
            <w:instrText xml:space="preserve"> PAGEREF _Toc25911 \h </w:instrText>
          </w:r>
          <w:r>
            <w:fldChar w:fldCharType="separate"/>
          </w:r>
          <w:r>
            <w:t>22</w:t>
          </w:r>
          <w:r>
            <w:fldChar w:fldCharType="end"/>
          </w:r>
          <w:r>
            <w:fldChar w:fldCharType="end"/>
          </w:r>
        </w:p>
        <w:p>
          <w:pPr>
            <w:pStyle w:val="12"/>
            <w:tabs>
              <w:tab w:val="right" w:leader="dot" w:pos="8306"/>
              <w:tab w:val="clear" w:pos="9061"/>
            </w:tabs>
          </w:pPr>
          <w:r>
            <w:fldChar w:fldCharType="begin"/>
          </w:r>
          <w:r>
            <w:instrText xml:space="preserve"> HYPERLINK \l _Toc32165 </w:instrText>
          </w:r>
          <w:r>
            <w:fldChar w:fldCharType="separate"/>
          </w:r>
          <w:r>
            <w:rPr>
              <w:rFonts w:hint="default"/>
              <w:szCs w:val="30"/>
              <w:lang w:val="en-US" w:eastAsia="zh-CN"/>
            </w:rPr>
            <w:t xml:space="preserve">3.2.2. </w:t>
          </w:r>
          <w:r>
            <w:rPr>
              <w:rFonts w:hint="eastAsia"/>
              <w:szCs w:val="30"/>
              <w:lang w:val="en-US" w:eastAsia="zh-CN"/>
            </w:rPr>
            <w:t>数据集评估结果</w:t>
          </w:r>
          <w:r>
            <w:tab/>
          </w:r>
          <w:r>
            <w:fldChar w:fldCharType="begin"/>
          </w:r>
          <w:r>
            <w:instrText xml:space="preserve"> PAGEREF _Toc32165 \h </w:instrText>
          </w:r>
          <w:r>
            <w:fldChar w:fldCharType="separate"/>
          </w:r>
          <w:r>
            <w:t>23</w:t>
          </w:r>
          <w:r>
            <w:fldChar w:fldCharType="end"/>
          </w:r>
          <w:r>
            <w:fldChar w:fldCharType="end"/>
          </w:r>
        </w:p>
        <w:p>
          <w:pPr>
            <w:pStyle w:val="14"/>
            <w:tabs>
              <w:tab w:val="right" w:leader="dot" w:pos="8306"/>
            </w:tabs>
          </w:pPr>
          <w:r>
            <w:fldChar w:fldCharType="begin"/>
          </w:r>
          <w:r>
            <w:instrText xml:space="preserve"> HYPERLINK \l _Toc6494 </w:instrText>
          </w:r>
          <w:r>
            <w:fldChar w:fldCharType="separate"/>
          </w:r>
          <w:r>
            <w:rPr>
              <w:rFonts w:hint="default"/>
              <w:lang w:val="en-US" w:eastAsia="zh-CN"/>
            </w:rPr>
            <w:t xml:space="preserve">4. </w:t>
          </w:r>
          <w:r>
            <w:rPr>
              <w:rFonts w:hint="eastAsia"/>
              <w:lang w:val="en-US" w:eastAsia="zh-CN"/>
            </w:rPr>
            <w:t>预测结果评估</w:t>
          </w:r>
          <w:r>
            <w:tab/>
          </w:r>
          <w:r>
            <w:fldChar w:fldCharType="begin"/>
          </w:r>
          <w:r>
            <w:instrText xml:space="preserve"> PAGEREF _Toc6494 \h </w:instrText>
          </w:r>
          <w:r>
            <w:fldChar w:fldCharType="separate"/>
          </w:r>
          <w:r>
            <w:t>25</w:t>
          </w:r>
          <w:r>
            <w:fldChar w:fldCharType="end"/>
          </w:r>
          <w:r>
            <w:fldChar w:fldCharType="end"/>
          </w:r>
        </w:p>
        <w:p>
          <w:pPr>
            <w:pStyle w:val="15"/>
            <w:tabs>
              <w:tab w:val="right" w:leader="dot" w:pos="8306"/>
            </w:tabs>
          </w:pPr>
          <w:r>
            <w:fldChar w:fldCharType="begin"/>
          </w:r>
          <w:r>
            <w:instrText xml:space="preserve"> HYPERLINK \l _Toc5336 </w:instrText>
          </w:r>
          <w:r>
            <w:fldChar w:fldCharType="separate"/>
          </w:r>
          <w:r>
            <w:rPr>
              <w:rFonts w:hint="default"/>
              <w:lang w:val="en-US" w:eastAsia="zh-CN"/>
            </w:rPr>
            <w:t xml:space="preserve">4.1. </w:t>
          </w:r>
          <w:r>
            <w:rPr>
              <w:rFonts w:hint="eastAsia"/>
              <w:lang w:val="en-US" w:eastAsia="zh-CN"/>
            </w:rPr>
            <w:t>模型预测结果评估指标综述</w:t>
          </w:r>
          <w:r>
            <w:tab/>
          </w:r>
          <w:r>
            <w:fldChar w:fldCharType="begin"/>
          </w:r>
          <w:r>
            <w:instrText xml:space="preserve"> PAGEREF _Toc5336 \h </w:instrText>
          </w:r>
          <w:r>
            <w:fldChar w:fldCharType="separate"/>
          </w:r>
          <w:r>
            <w:t>25</w:t>
          </w:r>
          <w:r>
            <w:fldChar w:fldCharType="end"/>
          </w:r>
          <w:r>
            <w:fldChar w:fldCharType="end"/>
          </w:r>
        </w:p>
        <w:p>
          <w:pPr>
            <w:pStyle w:val="12"/>
            <w:tabs>
              <w:tab w:val="right" w:leader="dot" w:pos="8306"/>
              <w:tab w:val="clear" w:pos="9061"/>
            </w:tabs>
          </w:pPr>
          <w:r>
            <w:fldChar w:fldCharType="begin"/>
          </w:r>
          <w:r>
            <w:instrText xml:space="preserve"> HYPERLINK \l _Toc32107 </w:instrText>
          </w:r>
          <w:r>
            <w:fldChar w:fldCharType="separate"/>
          </w:r>
          <w:r>
            <w:rPr>
              <w:rFonts w:hint="default"/>
              <w:szCs w:val="30"/>
              <w:lang w:val="en-US" w:eastAsia="zh-CN"/>
            </w:rPr>
            <w:t xml:space="preserve">4.1.1. </w:t>
          </w:r>
          <w:r>
            <w:rPr>
              <w:rFonts w:hint="eastAsia"/>
              <w:szCs w:val="30"/>
              <w:lang w:val="en-US" w:eastAsia="zh-CN"/>
            </w:rPr>
            <w:t>精确率、召回率和F1分数</w:t>
          </w:r>
          <w:r>
            <w:tab/>
          </w:r>
          <w:r>
            <w:fldChar w:fldCharType="begin"/>
          </w:r>
          <w:r>
            <w:instrText xml:space="preserve"> PAGEREF _Toc32107 \h </w:instrText>
          </w:r>
          <w:r>
            <w:fldChar w:fldCharType="separate"/>
          </w:r>
          <w:r>
            <w:t>25</w:t>
          </w:r>
          <w:r>
            <w:fldChar w:fldCharType="end"/>
          </w:r>
          <w:r>
            <w:fldChar w:fldCharType="end"/>
          </w:r>
        </w:p>
        <w:p>
          <w:pPr>
            <w:pStyle w:val="12"/>
            <w:tabs>
              <w:tab w:val="right" w:leader="dot" w:pos="8306"/>
              <w:tab w:val="clear" w:pos="9061"/>
            </w:tabs>
          </w:pPr>
          <w:r>
            <w:fldChar w:fldCharType="begin"/>
          </w:r>
          <w:r>
            <w:instrText xml:space="preserve"> HYPERLINK \l _Toc7646 </w:instrText>
          </w:r>
          <w:r>
            <w:fldChar w:fldCharType="separate"/>
          </w:r>
          <w:r>
            <w:rPr>
              <w:rFonts w:hint="default"/>
              <w:szCs w:val="30"/>
              <w:lang w:val="en-US" w:eastAsia="zh-CN"/>
            </w:rPr>
            <w:t xml:space="preserve">4.1.2. </w:t>
          </w:r>
          <w:r>
            <w:rPr>
              <w:rFonts w:hint="eastAsia"/>
              <w:szCs w:val="30"/>
              <w:lang w:val="en-US" w:eastAsia="zh-CN"/>
            </w:rPr>
            <w:t>BLEU、ROUGE和精确匹配（EM）</w:t>
          </w:r>
          <w:r>
            <w:tab/>
          </w:r>
          <w:r>
            <w:fldChar w:fldCharType="begin"/>
          </w:r>
          <w:r>
            <w:instrText xml:space="preserve"> PAGEREF _Toc7646 \h </w:instrText>
          </w:r>
          <w:r>
            <w:fldChar w:fldCharType="separate"/>
          </w:r>
          <w:r>
            <w:t>26</w:t>
          </w:r>
          <w:r>
            <w:fldChar w:fldCharType="end"/>
          </w:r>
          <w:r>
            <w:fldChar w:fldCharType="end"/>
          </w:r>
        </w:p>
        <w:p>
          <w:pPr>
            <w:pStyle w:val="12"/>
            <w:tabs>
              <w:tab w:val="right" w:leader="dot" w:pos="8306"/>
              <w:tab w:val="clear" w:pos="9061"/>
            </w:tabs>
          </w:pPr>
          <w:r>
            <w:fldChar w:fldCharType="begin"/>
          </w:r>
          <w:r>
            <w:instrText xml:space="preserve"> HYPERLINK \l _Toc11376 </w:instrText>
          </w:r>
          <w:r>
            <w:fldChar w:fldCharType="separate"/>
          </w:r>
          <w:r>
            <w:rPr>
              <w:rFonts w:hint="default"/>
              <w:szCs w:val="30"/>
              <w:lang w:val="en-US" w:eastAsia="zh-CN"/>
            </w:rPr>
            <w:t xml:space="preserve">4.1.3. </w:t>
          </w:r>
          <w:r>
            <w:rPr>
              <w:rFonts w:hint="eastAsia"/>
              <w:szCs w:val="30"/>
              <w:lang w:val="en-US" w:eastAsia="zh-CN"/>
            </w:rPr>
            <w:t>余弦相似度匹配与SAS评估</w:t>
          </w:r>
          <w:r>
            <w:tab/>
          </w:r>
          <w:r>
            <w:fldChar w:fldCharType="begin"/>
          </w:r>
          <w:r>
            <w:instrText xml:space="preserve"> PAGEREF _Toc11376 \h </w:instrText>
          </w:r>
          <w:r>
            <w:fldChar w:fldCharType="separate"/>
          </w:r>
          <w:r>
            <w:t>28</w:t>
          </w:r>
          <w:r>
            <w:fldChar w:fldCharType="end"/>
          </w:r>
          <w:r>
            <w:fldChar w:fldCharType="end"/>
          </w:r>
        </w:p>
        <w:p>
          <w:pPr>
            <w:pStyle w:val="15"/>
            <w:tabs>
              <w:tab w:val="right" w:leader="dot" w:pos="8306"/>
            </w:tabs>
          </w:pPr>
          <w:r>
            <w:fldChar w:fldCharType="begin"/>
          </w:r>
          <w:r>
            <w:instrText xml:space="preserve"> HYPERLINK \l _Toc30124 </w:instrText>
          </w:r>
          <w:r>
            <w:fldChar w:fldCharType="separate"/>
          </w:r>
          <w:r>
            <w:rPr>
              <w:rFonts w:hint="default"/>
              <w:lang w:val="en-US" w:eastAsia="zh-CN"/>
            </w:rPr>
            <w:t xml:space="preserve">4.2. </w:t>
          </w:r>
          <w:r>
            <w:rPr>
              <w:rFonts w:hint="eastAsia"/>
              <w:lang w:val="en-US" w:eastAsia="zh-CN"/>
            </w:rPr>
            <w:t>预测结果评估方案设计</w:t>
          </w:r>
          <w:r>
            <w:tab/>
          </w:r>
          <w:r>
            <w:fldChar w:fldCharType="begin"/>
          </w:r>
          <w:r>
            <w:instrText xml:space="preserve"> PAGEREF _Toc30124 \h </w:instrText>
          </w:r>
          <w:r>
            <w:fldChar w:fldCharType="separate"/>
          </w:r>
          <w:r>
            <w:t>29</w:t>
          </w:r>
          <w:r>
            <w:fldChar w:fldCharType="end"/>
          </w:r>
          <w:r>
            <w:fldChar w:fldCharType="end"/>
          </w:r>
        </w:p>
        <w:p>
          <w:pPr>
            <w:pStyle w:val="15"/>
            <w:tabs>
              <w:tab w:val="right" w:leader="dot" w:pos="8306"/>
            </w:tabs>
          </w:pPr>
          <w:r>
            <w:fldChar w:fldCharType="begin"/>
          </w:r>
          <w:r>
            <w:instrText xml:space="preserve"> HYPERLINK \l _Toc11535 </w:instrText>
          </w:r>
          <w:r>
            <w:fldChar w:fldCharType="separate"/>
          </w:r>
          <w:r>
            <w:rPr>
              <w:rFonts w:hint="default"/>
              <w:lang w:val="en-US" w:eastAsia="zh-CN"/>
            </w:rPr>
            <w:t xml:space="preserve">4.3. </w:t>
          </w:r>
          <w:r>
            <w:rPr>
              <w:rFonts w:hint="eastAsia"/>
              <w:lang w:val="en-US" w:eastAsia="zh-CN"/>
            </w:rPr>
            <w:t>多种评估方案与人工评估的对比</w:t>
          </w:r>
          <w:r>
            <w:tab/>
          </w:r>
          <w:r>
            <w:fldChar w:fldCharType="begin"/>
          </w:r>
          <w:r>
            <w:instrText xml:space="preserve"> PAGEREF _Toc11535 \h </w:instrText>
          </w:r>
          <w:r>
            <w:fldChar w:fldCharType="separate"/>
          </w:r>
          <w:r>
            <w:t>31</w:t>
          </w:r>
          <w:r>
            <w:fldChar w:fldCharType="end"/>
          </w:r>
          <w:r>
            <w:fldChar w:fldCharType="end"/>
          </w:r>
        </w:p>
        <w:p>
          <w:pPr>
            <w:pStyle w:val="12"/>
            <w:tabs>
              <w:tab w:val="right" w:leader="dot" w:pos="8306"/>
              <w:tab w:val="clear" w:pos="9061"/>
            </w:tabs>
          </w:pPr>
          <w:r>
            <w:fldChar w:fldCharType="begin"/>
          </w:r>
          <w:r>
            <w:instrText xml:space="preserve"> HYPERLINK \l _Toc14295 </w:instrText>
          </w:r>
          <w:r>
            <w:fldChar w:fldCharType="separate"/>
          </w:r>
          <w:r>
            <w:rPr>
              <w:rFonts w:hint="default"/>
              <w:szCs w:val="30"/>
              <w:lang w:val="en-US" w:eastAsia="zh-CN"/>
            </w:rPr>
            <w:t xml:space="preserve">4.3.1. </w:t>
          </w:r>
          <w:r>
            <w:rPr>
              <w:rFonts w:hint="eastAsia"/>
              <w:szCs w:val="30"/>
              <w:lang w:val="en-US" w:eastAsia="zh-CN"/>
            </w:rPr>
            <w:t>各评估方案的评估结果以及分析</w:t>
          </w:r>
          <w:r>
            <w:tab/>
          </w:r>
          <w:r>
            <w:fldChar w:fldCharType="begin"/>
          </w:r>
          <w:r>
            <w:instrText xml:space="preserve"> PAGEREF _Toc14295 \h </w:instrText>
          </w:r>
          <w:r>
            <w:fldChar w:fldCharType="separate"/>
          </w:r>
          <w:r>
            <w:t>32</w:t>
          </w:r>
          <w:r>
            <w:fldChar w:fldCharType="end"/>
          </w:r>
          <w:r>
            <w:fldChar w:fldCharType="end"/>
          </w:r>
        </w:p>
        <w:p>
          <w:pPr>
            <w:pStyle w:val="12"/>
            <w:tabs>
              <w:tab w:val="right" w:leader="dot" w:pos="8306"/>
              <w:tab w:val="clear" w:pos="9061"/>
            </w:tabs>
          </w:pPr>
          <w:r>
            <w:fldChar w:fldCharType="begin"/>
          </w:r>
          <w:r>
            <w:instrText xml:space="preserve"> HYPERLINK \l _Toc1560 </w:instrText>
          </w:r>
          <w:r>
            <w:fldChar w:fldCharType="separate"/>
          </w:r>
          <w:r>
            <w:rPr>
              <w:rFonts w:hint="default"/>
              <w:szCs w:val="30"/>
              <w:lang w:val="en-US" w:eastAsia="zh-CN"/>
            </w:rPr>
            <w:t xml:space="preserve">4.3.2. </w:t>
          </w:r>
          <w:r>
            <w:rPr>
              <w:rFonts w:hint="eastAsia"/>
              <w:szCs w:val="30"/>
              <w:lang w:val="en-US" w:eastAsia="zh-CN"/>
            </w:rPr>
            <w:t>与人工评估的对比</w:t>
          </w:r>
          <w:r>
            <w:tab/>
          </w:r>
          <w:r>
            <w:fldChar w:fldCharType="begin"/>
          </w:r>
          <w:r>
            <w:instrText xml:space="preserve"> PAGEREF _Toc1560 \h </w:instrText>
          </w:r>
          <w:r>
            <w:fldChar w:fldCharType="separate"/>
          </w:r>
          <w:r>
            <w:t>36</w:t>
          </w:r>
          <w:r>
            <w:fldChar w:fldCharType="end"/>
          </w:r>
          <w:r>
            <w:fldChar w:fldCharType="end"/>
          </w:r>
        </w:p>
        <w:p>
          <w:pPr>
            <w:pStyle w:val="12"/>
            <w:tabs>
              <w:tab w:val="right" w:leader="dot" w:pos="8306"/>
              <w:tab w:val="clear" w:pos="9061"/>
            </w:tabs>
          </w:pPr>
          <w:r>
            <w:fldChar w:fldCharType="begin"/>
          </w:r>
          <w:r>
            <w:instrText xml:space="preserve"> HYPERLINK \l _Toc2868 </w:instrText>
          </w:r>
          <w:r>
            <w:fldChar w:fldCharType="separate"/>
          </w:r>
          <w:r>
            <w:rPr>
              <w:rFonts w:hint="default"/>
              <w:szCs w:val="30"/>
              <w:lang w:val="en-US" w:eastAsia="zh-CN"/>
            </w:rPr>
            <w:t xml:space="preserve">4.3.3. </w:t>
          </w:r>
          <w:r>
            <w:rPr>
              <w:rFonts w:hint="eastAsia"/>
              <w:szCs w:val="30"/>
              <w:lang w:val="en-US" w:eastAsia="zh-CN"/>
            </w:rPr>
            <w:t>评估结果总结</w:t>
          </w:r>
          <w:r>
            <w:tab/>
          </w:r>
          <w:r>
            <w:fldChar w:fldCharType="begin"/>
          </w:r>
          <w:r>
            <w:instrText xml:space="preserve"> PAGEREF _Toc2868 \h </w:instrText>
          </w:r>
          <w:r>
            <w:fldChar w:fldCharType="separate"/>
          </w:r>
          <w:r>
            <w:t>39</w:t>
          </w:r>
          <w:r>
            <w:fldChar w:fldCharType="end"/>
          </w:r>
          <w:r>
            <w:fldChar w:fldCharType="end"/>
          </w:r>
        </w:p>
        <w:p>
          <w:pPr>
            <w:pStyle w:val="14"/>
            <w:tabs>
              <w:tab w:val="right" w:leader="dot" w:pos="8306"/>
            </w:tabs>
          </w:pPr>
          <w:r>
            <w:fldChar w:fldCharType="begin"/>
          </w:r>
          <w:r>
            <w:instrText xml:space="preserve"> HYPERLINK \l _Toc14646 </w:instrText>
          </w:r>
          <w:r>
            <w:fldChar w:fldCharType="separate"/>
          </w:r>
          <w:r>
            <w:rPr>
              <w:rFonts w:hint="default"/>
              <w:lang w:val="en-US" w:eastAsia="zh-CN"/>
            </w:rPr>
            <w:t xml:space="preserve">5. </w:t>
          </w:r>
          <w:r>
            <w:rPr>
              <w:rFonts w:hint="eastAsia"/>
              <w:lang w:val="en-US" w:eastAsia="zh-CN"/>
            </w:rPr>
            <w:t>总结</w:t>
          </w:r>
          <w:r>
            <w:tab/>
          </w:r>
          <w:r>
            <w:fldChar w:fldCharType="begin"/>
          </w:r>
          <w:r>
            <w:instrText xml:space="preserve"> PAGEREF _Toc14646 \h </w:instrText>
          </w:r>
          <w:r>
            <w:fldChar w:fldCharType="separate"/>
          </w:r>
          <w:r>
            <w:t>41</w:t>
          </w:r>
          <w:r>
            <w:fldChar w:fldCharType="end"/>
          </w:r>
          <w:r>
            <w:fldChar w:fldCharType="end"/>
          </w:r>
        </w:p>
        <w:p>
          <w:pPr>
            <w:pStyle w:val="15"/>
            <w:tabs>
              <w:tab w:val="right" w:leader="dot" w:pos="8306"/>
            </w:tabs>
          </w:pPr>
          <w:r>
            <w:fldChar w:fldCharType="begin"/>
          </w:r>
          <w:r>
            <w:instrText xml:space="preserve"> HYPERLINK \l _Toc4193 </w:instrText>
          </w:r>
          <w:r>
            <w:fldChar w:fldCharType="separate"/>
          </w:r>
          <w:r>
            <w:rPr>
              <w:rFonts w:hint="default"/>
              <w:lang w:val="en-US" w:eastAsia="zh-CN"/>
            </w:rPr>
            <w:t xml:space="preserve">5.1. </w:t>
          </w:r>
          <w:r>
            <w:rPr>
              <w:rFonts w:hint="eastAsia"/>
              <w:lang w:val="en-US" w:eastAsia="zh-CN"/>
            </w:rPr>
            <w:t>研究结果总结</w:t>
          </w:r>
          <w:r>
            <w:tab/>
          </w:r>
          <w:r>
            <w:fldChar w:fldCharType="begin"/>
          </w:r>
          <w:r>
            <w:instrText xml:space="preserve"> PAGEREF _Toc4193 \h </w:instrText>
          </w:r>
          <w:r>
            <w:fldChar w:fldCharType="separate"/>
          </w:r>
          <w:r>
            <w:t>41</w:t>
          </w:r>
          <w:r>
            <w:fldChar w:fldCharType="end"/>
          </w:r>
          <w:r>
            <w:fldChar w:fldCharType="end"/>
          </w:r>
        </w:p>
        <w:p>
          <w:pPr>
            <w:pStyle w:val="15"/>
            <w:tabs>
              <w:tab w:val="right" w:leader="dot" w:pos="8306"/>
            </w:tabs>
          </w:pPr>
          <w:r>
            <w:fldChar w:fldCharType="begin"/>
          </w:r>
          <w:r>
            <w:instrText xml:space="preserve"> HYPERLINK \l _Toc23482 </w:instrText>
          </w:r>
          <w:r>
            <w:fldChar w:fldCharType="separate"/>
          </w:r>
          <w:r>
            <w:rPr>
              <w:rFonts w:hint="default"/>
              <w:lang w:val="en-US" w:eastAsia="zh-CN"/>
            </w:rPr>
            <w:t xml:space="preserve">5.2. </w:t>
          </w:r>
          <w:r>
            <w:rPr>
              <w:rFonts w:hint="eastAsia"/>
              <w:lang w:val="en-US" w:eastAsia="zh-CN"/>
            </w:rPr>
            <w:t>局限与未来展望</w:t>
          </w:r>
          <w:r>
            <w:tab/>
          </w:r>
          <w:r>
            <w:fldChar w:fldCharType="begin"/>
          </w:r>
          <w:r>
            <w:instrText xml:space="preserve"> PAGEREF _Toc23482 \h </w:instrText>
          </w:r>
          <w:r>
            <w:fldChar w:fldCharType="separate"/>
          </w:r>
          <w:r>
            <w:t>42</w:t>
          </w:r>
          <w:r>
            <w:fldChar w:fldCharType="end"/>
          </w:r>
          <w:r>
            <w:fldChar w:fldCharType="end"/>
          </w:r>
        </w:p>
        <w:p>
          <w:pPr>
            <w:pStyle w:val="14"/>
            <w:tabs>
              <w:tab w:val="right" w:leader="dot" w:pos="8306"/>
            </w:tabs>
          </w:pPr>
          <w:r>
            <w:fldChar w:fldCharType="begin"/>
          </w:r>
          <w:r>
            <w:instrText xml:space="preserve"> HYPERLINK \l _Toc27092 </w:instrText>
          </w:r>
          <w:r>
            <w:fldChar w:fldCharType="separate"/>
          </w:r>
          <w:r>
            <w:rPr>
              <w:rFonts w:hint="eastAsia"/>
            </w:rPr>
            <w:t>致谢</w:t>
          </w:r>
          <w:r>
            <w:tab/>
          </w:r>
          <w:r>
            <w:fldChar w:fldCharType="begin"/>
          </w:r>
          <w:r>
            <w:instrText xml:space="preserve"> PAGEREF _Toc27092 \h </w:instrText>
          </w:r>
          <w:r>
            <w:fldChar w:fldCharType="separate"/>
          </w:r>
          <w:r>
            <w:t>43</w:t>
          </w:r>
          <w:r>
            <w:fldChar w:fldCharType="end"/>
          </w:r>
          <w:r>
            <w:fldChar w:fldCharType="end"/>
          </w:r>
        </w:p>
        <w:p>
          <w:pPr>
            <w:pStyle w:val="14"/>
            <w:tabs>
              <w:tab w:val="right" w:leader="dot" w:pos="8306"/>
            </w:tabs>
          </w:pPr>
          <w:r>
            <w:fldChar w:fldCharType="begin"/>
          </w:r>
          <w:r>
            <w:instrText xml:space="preserve"> HYPERLINK \l _Toc1797 </w:instrText>
          </w:r>
          <w:r>
            <w:fldChar w:fldCharType="separate"/>
          </w:r>
          <w:r>
            <w:rPr>
              <w:rFonts w:hint="eastAsia"/>
              <w:lang w:val="en-US" w:eastAsia="zh-CN"/>
            </w:rPr>
            <w:t>附录</w:t>
          </w:r>
          <w:r>
            <w:tab/>
          </w:r>
          <w:r>
            <w:fldChar w:fldCharType="begin"/>
          </w:r>
          <w:r>
            <w:instrText xml:space="preserve"> PAGEREF _Toc1797 \h </w:instrText>
          </w:r>
          <w:r>
            <w:fldChar w:fldCharType="separate"/>
          </w:r>
          <w:r>
            <w:t>44</w:t>
          </w:r>
          <w:r>
            <w:fldChar w:fldCharType="end"/>
          </w:r>
          <w:r>
            <w:fldChar w:fldCharType="end"/>
          </w:r>
        </w:p>
        <w:p>
          <w:pPr>
            <w:pStyle w:val="14"/>
            <w:tabs>
              <w:tab w:val="right" w:leader="dot" w:pos="8306"/>
            </w:tabs>
          </w:pPr>
          <w:r>
            <w:fldChar w:fldCharType="begin"/>
          </w:r>
          <w:r>
            <w:instrText xml:space="preserve"> HYPERLINK \l _Toc20769 </w:instrText>
          </w:r>
          <w:r>
            <w:fldChar w:fldCharType="separate"/>
          </w:r>
          <w:r>
            <w:rPr>
              <w:rFonts w:hint="eastAsia"/>
            </w:rPr>
            <w:t>参考文献</w:t>
          </w:r>
          <w:r>
            <w:tab/>
          </w:r>
          <w:r>
            <w:fldChar w:fldCharType="begin"/>
          </w:r>
          <w:r>
            <w:instrText xml:space="preserve"> PAGEREF _Toc20769 \h </w:instrText>
          </w:r>
          <w:r>
            <w:fldChar w:fldCharType="separate"/>
          </w:r>
          <w:r>
            <w:t>45</w:t>
          </w:r>
          <w:r>
            <w:fldChar w:fldCharType="end"/>
          </w:r>
          <w:r>
            <w:fldChar w:fldCharType="end"/>
          </w:r>
        </w:p>
        <w:p>
          <w:r>
            <w:fldChar w:fldCharType="end"/>
          </w:r>
        </w:p>
      </w:sdtContent>
    </w:sdt>
    <w:p>
      <w:pPr>
        <w:pStyle w:val="2"/>
        <w:bidi w:val="0"/>
        <w:spacing w:after="0" w:afterAutospacing="0"/>
        <w:ind w:left="432" w:leftChars="0" w:hanging="432" w:firstLineChars="0"/>
        <w:rPr>
          <w:rFonts w:hint="default"/>
          <w:lang w:val="en-US" w:eastAsia="zh-CN"/>
        </w:rPr>
      </w:pPr>
      <w:bookmarkStart w:id="2" w:name="_Toc11800"/>
      <w:r>
        <w:rPr>
          <w:rFonts w:hint="eastAsia"/>
          <w:lang w:val="en-US" w:eastAsia="zh-CN"/>
        </w:rPr>
        <w:t>绪论</w:t>
      </w:r>
      <w:bookmarkEnd w:id="2"/>
    </w:p>
    <w:p>
      <w:pPr>
        <w:ind w:firstLine="420" w:firstLineChars="0"/>
        <w:rPr>
          <w:rFonts w:hint="default"/>
          <w:lang w:val="en-US" w:eastAsia="zh-CN"/>
        </w:rPr>
      </w:pPr>
      <w:r>
        <w:rPr>
          <w:rFonts w:hint="eastAsia"/>
          <w:lang w:val="en-US" w:eastAsia="zh-CN"/>
        </w:rPr>
        <w:t>在深度学习技术高速发展的当下，大模型（Large Model）已然成为了人工智能领域的研究热点。其中，大模型下的一个重要分支——大语言模型（Large Language Models，以下简称LLMs），因其越来越强大的语言能力，正逐渐改变着人们学习、工作方式。大语言模型的快速发展，让人们改变了对人工智能的认知以及使用方式。</w:t>
      </w:r>
    </w:p>
    <w:p>
      <w:pPr>
        <w:pStyle w:val="3"/>
        <w:bidi w:val="0"/>
        <w:spacing w:before="56" w:beforeLines="17" w:beforeAutospacing="0" w:after="53" w:afterLines="17" w:afterAutospacing="0"/>
        <w:rPr>
          <w:rFonts w:hint="default"/>
          <w:sz w:val="28"/>
          <w:szCs w:val="28"/>
          <w:lang w:val="en-US" w:eastAsia="zh-CN"/>
        </w:rPr>
      </w:pPr>
      <w:bookmarkStart w:id="3" w:name="_Toc5986"/>
      <w:r>
        <w:rPr>
          <w:rFonts w:hint="eastAsia"/>
          <w:sz w:val="28"/>
          <w:szCs w:val="28"/>
          <w:lang w:val="en-US" w:eastAsia="zh-CN"/>
        </w:rPr>
        <w:t>研究背景及动机</w:t>
      </w:r>
      <w:bookmarkEnd w:id="3"/>
    </w:p>
    <w:p>
      <w:pPr>
        <w:ind w:firstLine="420" w:firstLineChars="0"/>
        <w:rPr>
          <w:rFonts w:hint="eastAsia"/>
          <w:lang w:val="en-US" w:eastAsia="zh-CN"/>
        </w:rPr>
      </w:pPr>
      <w:r>
        <w:rPr>
          <w:rFonts w:hint="eastAsia"/>
          <w:lang w:val="en-US" w:eastAsia="zh-CN"/>
        </w:rPr>
        <w:t>早期对大语言模型的研究主要依赖与规划，但随着2003年神经网络语言模型的提出，深度学习开始在自然语言处理（NLP，以下简称NLP）中发挥作用。2013年Word2Vec引入了此嵌入技术，为文本数据提供了高效的数值表示。2017年，Transformer的提出彻底改变了NLP领域，以其高效处理长序列数据的能力为基础，促进了大预言模型的高速发展。在此之后，越来越多的LLM公开问世，包括非开源模型GPT系列，以及开源模型BERT、LLAMA系列等。</w:t>
      </w:r>
    </w:p>
    <w:p>
      <w:pPr>
        <w:ind w:firstLine="420" w:firstLineChars="0"/>
        <w:rPr>
          <w:rFonts w:hint="eastAsia"/>
          <w:lang w:val="en-US" w:eastAsia="zh-CN"/>
        </w:rPr>
      </w:pPr>
      <w:r>
        <w:rPr>
          <w:rFonts w:hint="eastAsia"/>
          <w:lang w:val="en-US" w:eastAsia="zh-CN"/>
        </w:rPr>
        <w:t>LLM发布的初衷，是为了将其运用到各类垂直领域中，如：教育领域、科研领域和社会各类工作领域等。然而对于开源的LLM，虽然他们的参数量很大，且在一般NLP任务中已经能有不错的表现，但是一旦涉及到专业领域的问题，他们的表现就都差强人意，无法满足在垂直领域部署使用的条件。因此开源LLM的预训练和微调，就显得举足轻重。</w:t>
      </w:r>
    </w:p>
    <w:p>
      <w:pPr>
        <w:ind w:firstLine="420" w:firstLineChars="0"/>
        <w:rPr>
          <w:rFonts w:hint="default"/>
          <w:lang w:val="en-US" w:eastAsia="zh-CN"/>
        </w:rPr>
      </w:pPr>
      <w:r>
        <w:rPr>
          <w:rFonts w:hint="eastAsia"/>
          <w:lang w:val="en-US" w:eastAsia="zh-CN"/>
        </w:rPr>
        <w:t>然而虽然现在有非常多的文本数据集，可以用作LLM的预训练与微调。但由于制作数据集的人员可能并不是对应专业领域的专业人员，因此这些数据集在对应领域大都难以达到高专业性、高精确的质量要求。训练出来的LLM在对应领域依然缺乏一定的专业性，没法进一步投入到垂直领域进行应用开发。而具有相关垂直领域专业知识的科研人员，却又缺少数据集制作的知识，这导致做出来的数据集会有无法投入训练的情况。而目前LLM的研究领域缺少数据集制作的文章，这导致想要利用LLM做垂直领域开发工作的各领域的科研人员，无法制作出专业的数据集对模型进行训练微调。因此本文将研究如何制作一个用于LLM的专业知识数据集。</w:t>
      </w:r>
    </w:p>
    <w:p>
      <w:pPr>
        <w:pStyle w:val="3"/>
        <w:bidi w:val="0"/>
        <w:rPr>
          <w:rFonts w:hint="default"/>
          <w:sz w:val="28"/>
          <w:szCs w:val="28"/>
          <w:lang w:val="en-US" w:eastAsia="zh-CN"/>
        </w:rPr>
      </w:pPr>
      <w:bookmarkStart w:id="4" w:name="_Toc5057"/>
      <w:r>
        <w:rPr>
          <w:rFonts w:hint="eastAsia"/>
          <w:sz w:val="28"/>
          <w:szCs w:val="28"/>
          <w:lang w:val="en-US" w:eastAsia="zh-CN"/>
        </w:rPr>
        <w:t>论文结构概述</w:t>
      </w:r>
      <w:bookmarkEnd w:id="4"/>
    </w:p>
    <w:p>
      <w:pPr>
        <w:ind w:firstLine="420" w:firstLineChars="0"/>
        <w:rPr>
          <w:rFonts w:hint="default"/>
          <w:lang w:val="en-US" w:eastAsia="zh-CN"/>
        </w:rPr>
      </w:pPr>
      <w:r>
        <w:rPr>
          <w:rFonts w:hint="eastAsia"/>
          <w:lang w:val="en-US" w:eastAsia="zh-CN"/>
        </w:rPr>
        <w:t>本篇论文将对数据集制作以及模型预测结果评估方式进行总结，并总结出一条切实可行的技术路线供相关科研人员进行参考。以下是文章的结构：</w:t>
      </w:r>
    </w:p>
    <w:p>
      <w:pPr>
        <w:ind w:firstLine="420" w:firstLineChars="0"/>
        <w:rPr>
          <w:rFonts w:hint="eastAsia"/>
          <w:lang w:val="en-US" w:eastAsia="zh-CN"/>
        </w:rPr>
      </w:pPr>
      <w:r>
        <w:rPr>
          <w:rFonts w:hint="eastAsia"/>
          <w:lang w:val="en-US" w:eastAsia="zh-CN"/>
        </w:rPr>
        <w:t>第一章：绪论，概述了LLM的发展背景以及为何要做数据集设计研究。</w:t>
      </w:r>
    </w:p>
    <w:p>
      <w:pPr>
        <w:ind w:firstLine="420" w:firstLineChars="0"/>
        <w:rPr>
          <w:rFonts w:hint="default"/>
          <w:lang w:val="en-US" w:eastAsia="zh-CN"/>
        </w:rPr>
      </w:pPr>
      <w:r>
        <w:rPr>
          <w:rFonts w:hint="eastAsia"/>
          <w:lang w:val="en-US" w:eastAsia="zh-CN"/>
        </w:rPr>
        <w:t>第二章：数据集设计，概述了数据集设计的基本方法，同时设计了一个用于化学领域LLM训练的数据集。提供具体的数据集设计方法参考。</w:t>
      </w:r>
    </w:p>
    <w:p>
      <w:pPr>
        <w:ind w:firstLine="420" w:firstLineChars="0"/>
        <w:rPr>
          <w:rFonts w:hint="eastAsia"/>
          <w:lang w:val="en-US" w:eastAsia="zh-CN"/>
        </w:rPr>
      </w:pPr>
      <w:r>
        <w:rPr>
          <w:rFonts w:hint="eastAsia"/>
          <w:lang w:val="en-US" w:eastAsia="zh-CN"/>
        </w:rPr>
        <w:t>第三章：数据集评估，概述了数据集质量评估的一些参考指标，并且以第二章中设计的化学数据集为例，来评测该数据集的质量高低，以此来提供一个数据集质量评估的具体做法。</w:t>
      </w:r>
    </w:p>
    <w:p>
      <w:pPr>
        <w:ind w:firstLine="420" w:firstLineChars="0"/>
        <w:rPr>
          <w:rFonts w:hint="eastAsia"/>
          <w:lang w:val="en-US" w:eastAsia="zh-CN"/>
        </w:rPr>
      </w:pPr>
      <w:r>
        <w:rPr>
          <w:rFonts w:hint="eastAsia"/>
          <w:lang w:val="en-US" w:eastAsia="zh-CN"/>
        </w:rPr>
        <w:t>第四章：预测结果评估，对现有的常用预测指标进行了总结，设计了一系列用于评测在该化学数据集上适用的模型预测结果评估方案。并藉由评估数据和人工评估的介入，来比较各评估方案与的优劣。</w:t>
      </w:r>
    </w:p>
    <w:p>
      <w:pPr>
        <w:ind w:firstLine="420" w:firstLineChars="0"/>
        <w:rPr>
          <w:rFonts w:hint="default"/>
          <w:lang w:val="en-US" w:eastAsia="zh-CN"/>
        </w:rPr>
      </w:pPr>
      <w:r>
        <w:rPr>
          <w:rFonts w:hint="eastAsia"/>
          <w:lang w:val="en-US" w:eastAsia="zh-CN"/>
        </w:rPr>
        <w:t>第五章：总结，对本论文的研究结果进行总结，同时指出不足与局限所在，并对局限不足提出未来改进期望。</w:t>
      </w:r>
    </w:p>
    <w:p>
      <w:pPr>
        <w:ind w:firstLine="420" w:firstLineChars="0"/>
        <w:rPr>
          <w:rFonts w:hint="default"/>
          <w:lang w:val="en-US" w:eastAsia="zh-CN"/>
        </w:rPr>
      </w:pPr>
      <w:r>
        <w:rPr>
          <w:rFonts w:hint="eastAsia"/>
          <w:lang w:val="en-US" w:eastAsia="zh-CN"/>
        </w:rPr>
        <w:t xml:space="preserve">由于本文是对LLM的头和尾，即数据集的制作和预测结果的评估进行研究工作，没有足够的条件进行LLM的训练微调，因此预测结果的相关数据，将会使用文心一言来生成。 </w:t>
      </w:r>
    </w:p>
    <w:p>
      <w:pPr>
        <w:pStyle w:val="2"/>
        <w:bidi w:val="0"/>
        <w:rPr>
          <w:rFonts w:hint="default"/>
          <w:lang w:val="en-US" w:eastAsia="zh-CN"/>
        </w:rPr>
      </w:pPr>
      <w:bookmarkStart w:id="5" w:name="_Toc24738"/>
      <w:r>
        <w:rPr>
          <w:rFonts w:hint="eastAsia"/>
          <w:lang w:val="en-US" w:eastAsia="zh-CN"/>
        </w:rPr>
        <w:t>数据集设计</w:t>
      </w:r>
      <w:bookmarkEnd w:id="5"/>
    </w:p>
    <w:p>
      <w:pPr>
        <w:ind w:firstLine="420" w:firstLineChars="0"/>
        <w:rPr>
          <w:rFonts w:hint="default"/>
          <w:lang w:val="en-US" w:eastAsia="zh-CN"/>
        </w:rPr>
      </w:pPr>
      <w:r>
        <w:rPr>
          <w:rFonts w:hint="eastAsia"/>
          <w:lang w:val="en-US" w:eastAsia="zh-CN"/>
        </w:rPr>
        <w:t>对LLM进行预训练和微调第一步，就是找到合适的数据集，然后进行数据预处理，将数据处理为模型能够接收的格式再进行预训练和微调。由于各企业或者各研究机构对数据集的要求各有不同，且现存的数据集难以很好地满足个性化需求，因此若想训练出能够用于垂直领域应用开发的LLM，优秀的数据集设计就显得举足轻重。本章节将对LLM数据集设计方法进行总结，同时，</w:t>
      </w:r>
      <w:r>
        <w:rPr>
          <w:rFonts w:hint="eastAsia"/>
          <w:sz w:val="30"/>
          <w:szCs w:val="30"/>
          <w:lang w:val="en-US" w:eastAsia="zh-CN"/>
        </w:rPr>
        <w:t>为了直观的展现数据集的设计流程，本文将设计一个用于化学领域LLM训练的数据集。该数据集包含两部分，分别为预训练数据集——化学专有名词语料库，和监督微调数据集——化学QA数据（其中Q表示问题，A表示答案）。</w:t>
      </w:r>
    </w:p>
    <w:p>
      <w:pPr>
        <w:pStyle w:val="3"/>
        <w:bidi w:val="0"/>
        <w:rPr>
          <w:rFonts w:hint="default"/>
          <w:lang w:val="en-US" w:eastAsia="zh-CN"/>
        </w:rPr>
      </w:pPr>
      <w:bookmarkStart w:id="6" w:name="_Toc13299"/>
      <w:r>
        <w:rPr>
          <w:rFonts w:hint="eastAsia"/>
          <w:lang w:val="en-US" w:eastAsia="zh-CN"/>
        </w:rPr>
        <w:t>数据集设计方法概述</w:t>
      </w:r>
      <w:bookmarkEnd w:id="6"/>
    </w:p>
    <w:p>
      <w:pPr>
        <w:spacing w:afterAutospacing="0"/>
        <w:ind w:firstLine="420" w:firstLineChars="0"/>
        <w:rPr>
          <w:rFonts w:hint="eastAsia"/>
          <w:lang w:val="en-US" w:eastAsia="zh-CN"/>
        </w:rPr>
      </w:pPr>
      <w:r>
        <w:rPr>
          <w:rFonts w:hint="eastAsia"/>
          <w:lang w:val="en-US" w:eastAsia="zh-CN"/>
        </w:rPr>
        <w:t>数据集的设计，不仅需要确保数据的质量和相关性，还需要考虑到数据的多样性和代表性，避免因缺乏多样性和代表性的低质量数据集造成训练后的LLM模型缺乏泛化能力。数据集的设计和构建，需要遵循一系列详尽且严格的标准和步骤，即：明确研究目标和需求分析、数据源的选择和数据收集、数据预处理和数据清洗、数据增强、扩充和标注、质量控制和验证、预测结果评估方式、文档编制和维护。</w:t>
      </w:r>
    </w:p>
    <w:p>
      <w:pPr>
        <w:pStyle w:val="4"/>
        <w:bidi w:val="0"/>
        <w:spacing w:before="57" w:beforeLines="0" w:beforeAutospacing="0" w:after="57" w:afterLines="0" w:afterAutospacing="0"/>
        <w:rPr>
          <w:rFonts w:hint="default"/>
          <w:sz w:val="30"/>
          <w:szCs w:val="30"/>
          <w:lang w:val="en-US" w:eastAsia="zh-CN"/>
        </w:rPr>
      </w:pPr>
      <w:bookmarkStart w:id="7" w:name="_Toc19544"/>
      <w:r>
        <w:rPr>
          <w:rFonts w:hint="eastAsia"/>
          <w:sz w:val="30"/>
          <w:szCs w:val="30"/>
          <w:lang w:val="en-US" w:eastAsia="zh-CN"/>
        </w:rPr>
        <w:t>数据收集处理</w:t>
      </w:r>
      <w:bookmarkEnd w:id="7"/>
    </w:p>
    <w:p>
      <w:pPr>
        <w:ind w:firstLine="420" w:firstLineChars="0"/>
        <w:rPr>
          <w:rFonts w:hint="eastAsia"/>
          <w:lang w:val="en-US" w:eastAsia="zh-CN"/>
        </w:rPr>
      </w:pPr>
      <w:r>
        <w:rPr>
          <w:rFonts w:hint="eastAsia"/>
          <w:lang w:val="en-US" w:eastAsia="zh-CN"/>
        </w:rPr>
        <w:t>在数据集设计初步阶段，明确研究领域、问题的定义和研究的目标是至关重要的。这一过程包括对问题域的深入理解，以及确定数据需求的详细规范。需求分析阶段，不仅需要解决所需数据类型、格式、大小等问题，还要对数据的分布情况有细致的考量。同时，也需要对潜在的数据来源和获取方法进行有一定程度的分析了解，确保数据来源的可靠性，能够将其用来支撑后续的工作高质量进行。</w:t>
      </w:r>
    </w:p>
    <w:p>
      <w:pPr>
        <w:ind w:firstLine="420" w:firstLineChars="0"/>
        <w:rPr>
          <w:rFonts w:hint="eastAsia"/>
          <w:lang w:val="en-US" w:eastAsia="zh-CN"/>
        </w:rPr>
      </w:pPr>
      <w:r>
        <w:rPr>
          <w:rFonts w:hint="eastAsia"/>
          <w:lang w:val="en-US" w:eastAsia="zh-CN"/>
        </w:rPr>
        <w:t>当对研究目标和需求分析深入分析透彻后，将进入数据集设计中的一个关键环节——合适数据源的选取。在这一环节中，设计人员要能够评估和选择可以提供高质量、相关性强和代表性好的数据源。优质的数据来源包括但不限于相关书籍、网络百科和专业论坛。数据收集方法则有网络爬虫、公开数据集调用、API调用、社会调查以及数据生成等。在收集数据时，应考虑数据的合法性，遵守隐私保护政策，确保数据收集过程符合相关法律法规和伦理标准。</w:t>
      </w:r>
    </w:p>
    <w:p>
      <w:pPr>
        <w:ind w:firstLine="420" w:firstLineChars="0"/>
        <w:rPr>
          <w:rFonts w:hint="default"/>
          <w:lang w:val="en-US" w:eastAsia="zh-CN"/>
        </w:rPr>
      </w:pPr>
      <w:r>
        <w:rPr>
          <w:rFonts w:hint="eastAsia"/>
          <w:lang w:val="en-US" w:eastAsia="zh-CN"/>
        </w:rPr>
        <w:t>第一次收集而来的数据，必定包含有不少的脏数据，因此对数据进行清洗，是确保数据集质量的关键步骤。数据清洗主要目标是去除异常值、处理缺失值、删除无关值和排除错误值。目的是为了除去数据中的噪声，以提高数据的准确性和可靠性。同时还需要进行数据的脱敏处理，以去除匿名化敏感信息，保护个人隐私。</w:t>
      </w:r>
    </w:p>
    <w:p>
      <w:pPr>
        <w:pStyle w:val="4"/>
        <w:bidi w:val="0"/>
        <w:spacing w:before="57" w:beforeLines="0" w:beforeAutospacing="0" w:after="57" w:afterLines="0" w:afterAutospacing="0"/>
        <w:rPr>
          <w:rFonts w:hint="default"/>
          <w:sz w:val="30"/>
          <w:szCs w:val="30"/>
          <w:lang w:val="en-US" w:eastAsia="zh-CN"/>
        </w:rPr>
      </w:pPr>
      <w:bookmarkStart w:id="8" w:name="_Toc19340"/>
      <w:r>
        <w:rPr>
          <w:rFonts w:hint="eastAsia"/>
          <w:sz w:val="30"/>
          <w:szCs w:val="30"/>
          <w:lang w:val="en-US" w:eastAsia="zh-CN"/>
        </w:rPr>
        <w:t>数据质量和预测结果评估</w:t>
      </w:r>
      <w:bookmarkEnd w:id="8"/>
    </w:p>
    <w:p>
      <w:pPr>
        <w:ind w:firstLine="420" w:firstLineChars="0"/>
        <w:rPr>
          <w:rFonts w:hint="eastAsia"/>
          <w:lang w:val="en-US" w:eastAsia="zh-CN"/>
        </w:rPr>
      </w:pPr>
      <w:r>
        <w:rPr>
          <w:rFonts w:hint="eastAsia"/>
          <w:lang w:val="en-US" w:eastAsia="zh-CN"/>
        </w:rPr>
        <w:t>数据集的质量验证是在数据收集与处理流程完成后进行的一项关键活动。该验证过程的目的是通过一系列既定的指标和细致的检查程序，确保数据集的质量满足预先设定的标准。数据集质量的验证指标广泛覆盖了包括数据量、多样性、代表性及偏见等多个维度。制定一个既合理又适应特定数据集需求的验证方案，是一个值得深入讨论的重要课题。关于数据集质量验证的具体方法，将在第三章中详细展开讨论。</w:t>
      </w:r>
    </w:p>
    <w:p>
      <w:pPr>
        <w:ind w:firstLine="420" w:firstLineChars="0"/>
        <w:rPr>
          <w:rFonts w:hint="default"/>
          <w:lang w:val="en-US" w:eastAsia="zh-CN"/>
        </w:rPr>
      </w:pPr>
      <w:r>
        <w:rPr>
          <w:rFonts w:hint="eastAsia"/>
          <w:lang w:val="en-US" w:eastAsia="zh-CN"/>
        </w:rPr>
        <w:t>预测结果评估则是提供一套适用于该数据集的评估方式。一个良好的预测结果评估系统，能够最大化地帮助LLM在该数据集上进行高效学习。关于预测结果评估的相关指标以及如何设计一套合适的评估系统，将在第四章中详细展开。</w:t>
      </w:r>
    </w:p>
    <w:p>
      <w:pPr>
        <w:pStyle w:val="4"/>
        <w:bidi w:val="0"/>
        <w:spacing w:before="57" w:beforeLines="0" w:beforeAutospacing="0" w:after="57" w:afterLines="0" w:afterAutospacing="0"/>
        <w:rPr>
          <w:rFonts w:hint="default"/>
          <w:sz w:val="30"/>
          <w:szCs w:val="30"/>
          <w:lang w:val="en-US" w:eastAsia="zh-CN"/>
        </w:rPr>
      </w:pPr>
      <w:bookmarkStart w:id="9" w:name="_Toc13939"/>
      <w:r>
        <w:rPr>
          <w:rFonts w:hint="eastAsia"/>
          <w:sz w:val="30"/>
          <w:szCs w:val="30"/>
          <w:lang w:val="en-US" w:eastAsia="zh-CN"/>
        </w:rPr>
        <w:t>数据维护</w:t>
      </w:r>
      <w:bookmarkEnd w:id="9"/>
    </w:p>
    <w:p>
      <w:pPr>
        <w:ind w:firstLine="420" w:firstLineChars="0"/>
        <w:rPr>
          <w:rFonts w:hint="eastAsia"/>
          <w:sz w:val="30"/>
          <w:szCs w:val="30"/>
          <w:lang w:val="en-US" w:eastAsia="zh-CN"/>
        </w:rPr>
      </w:pPr>
      <w:r>
        <w:rPr>
          <w:rFonts w:hint="eastAsia"/>
          <w:sz w:val="30"/>
          <w:szCs w:val="30"/>
          <w:lang w:val="en-US" w:eastAsia="zh-CN"/>
        </w:rPr>
        <w:t>当数据集建成之后，要保证对数据集的维护。对数据进行维护最好的办法是编写详细的数据集文档。一个详细的数据集文档，能够帮助研究者理解数据集的结构、来源、预处理步骤以及任何潜在的局限性。数据集的维护更新过程是一个动态的、持续的过程，特别对于动态变化的数据源，如：新闻平台、社交媒体平台、金融市场数据、在线论坛和问答网站等。定期对数据集进行更新维护，对于保持数据的相关性和时效性至关重要。在这一过程中，数据集文档发挥着关键作用。</w:t>
      </w:r>
    </w:p>
    <w:p>
      <w:pPr>
        <w:ind w:firstLine="420" w:firstLineChars="0"/>
        <w:rPr>
          <w:rFonts w:hint="eastAsia"/>
          <w:sz w:val="30"/>
          <w:szCs w:val="30"/>
          <w:lang w:val="en-US" w:eastAsia="zh-CN"/>
        </w:rPr>
      </w:pPr>
      <w:r>
        <w:rPr>
          <w:rFonts w:hint="eastAsia"/>
          <w:sz w:val="30"/>
          <w:szCs w:val="30"/>
          <w:lang w:val="en-US" w:eastAsia="zh-CN"/>
        </w:rPr>
        <w:t>有效的数据集文档才能帮助研究者进行数据维护工作。想要制作一个有效的数据集文档，应当遵循如图1所示的文档结构。</w:t>
      </w:r>
    </w:p>
    <w:p>
      <w:pPr>
        <w:jc w:val="center"/>
        <w:rPr>
          <w:rFonts w:hint="default"/>
          <w:sz w:val="30"/>
          <w:szCs w:val="30"/>
          <w:lang w:val="en-US" w:eastAsia="zh-CN"/>
        </w:rPr>
      </w:pPr>
      <w:r>
        <w:rPr>
          <w:rFonts w:hint="default"/>
          <w:sz w:val="30"/>
          <w:szCs w:val="30"/>
          <w:lang w:val="en-US" w:eastAsia="zh-CN"/>
        </w:rPr>
        <w:drawing>
          <wp:inline distT="0" distB="0" distL="114300" distR="114300">
            <wp:extent cx="2797175" cy="2498090"/>
            <wp:effectExtent l="0" t="0" r="6985" b="1270"/>
            <wp:docPr id="3" name="图片 3" descr="数据集文档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数据集文档结构"/>
                    <pic:cNvPicPr>
                      <a:picLocks noChangeAspect="1"/>
                    </pic:cNvPicPr>
                  </pic:nvPicPr>
                  <pic:blipFill>
                    <a:blip r:embed="rId5"/>
                    <a:stretch>
                      <a:fillRect/>
                    </a:stretch>
                  </pic:blipFill>
                  <pic:spPr>
                    <a:xfrm>
                      <a:off x="0" y="0"/>
                      <a:ext cx="2797175" cy="2498090"/>
                    </a:xfrm>
                    <a:prstGeom prst="rect">
                      <a:avLst/>
                    </a:prstGeom>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数据集文档结构</w:t>
      </w:r>
    </w:p>
    <w:p>
      <w:pPr>
        <w:ind w:firstLine="420" w:firstLineChars="0"/>
        <w:outlineLvl w:val="2"/>
        <w:rPr>
          <w:rFonts w:hint="default"/>
          <w:sz w:val="30"/>
          <w:szCs w:val="30"/>
          <w:lang w:val="en-US" w:eastAsia="zh-CN"/>
        </w:rPr>
      </w:pPr>
      <w:r>
        <w:rPr>
          <w:rFonts w:hint="eastAsia"/>
          <w:sz w:val="30"/>
          <w:szCs w:val="30"/>
          <w:lang w:val="en-US" w:eastAsia="zh-CN"/>
        </w:rPr>
        <w:t>其中，数据集描述应包含概述和数据来源两个属性。数据集收集和处理方法部分，应写明数据的收集方法以及对原始数据进行清洗、筛选、转换等提高数据集质量的步骤。数据的内容和结构，应当描述数据的类型和格</w:t>
      </w:r>
      <w:bookmarkStart w:id="46" w:name="_GoBack"/>
      <w:bookmarkEnd w:id="46"/>
      <w:r>
        <w:rPr>
          <w:rFonts w:hint="eastAsia"/>
          <w:sz w:val="30"/>
          <w:szCs w:val="30"/>
          <w:lang w:val="en-US" w:eastAsia="zh-CN"/>
        </w:rPr>
        <w:t>式、字段说明，同时还应该提供一定的样本数据，以便于更好地理解数据的结构和内容。数据的获取方式、加载和处理方法，应当在数据集的使用指南中标明。质量控制中，应包含有质量保证措施——数据验证方法等，和已知问题和限制。许可和引用信息包含有使用许可和引用信息两个属性。维护和更新部分，则应当说明数据的维护情况以及后续更新计划等。对于下文设计的数据集所对应的数据维护文档，将附于附件中。</w:t>
      </w:r>
    </w:p>
    <w:p>
      <w:pPr>
        <w:pStyle w:val="3"/>
        <w:bidi w:val="0"/>
        <w:spacing w:before="0" w:beforeAutospacing="0"/>
        <w:rPr>
          <w:rFonts w:hint="default"/>
          <w:lang w:val="en-US" w:eastAsia="zh-CN"/>
        </w:rPr>
      </w:pPr>
      <w:bookmarkStart w:id="10" w:name="_Toc14122"/>
      <w:r>
        <w:rPr>
          <w:rFonts w:hint="eastAsia"/>
          <w:lang w:val="en-US" w:eastAsia="zh-CN"/>
        </w:rPr>
        <w:t>语料库设计</w:t>
      </w:r>
      <w:bookmarkEnd w:id="10"/>
    </w:p>
    <w:p>
      <w:pPr>
        <w:ind w:firstLine="420" w:firstLineChars="0"/>
        <w:rPr>
          <w:rFonts w:hint="default"/>
          <w:lang w:val="en-US" w:eastAsia="zh-CN"/>
        </w:rPr>
      </w:pPr>
      <w:r>
        <w:rPr>
          <w:rFonts w:hint="eastAsia"/>
          <w:lang w:val="en-US" w:eastAsia="zh-CN"/>
        </w:rPr>
        <w:t>模型预训练的目的是利用大量的的数据资源，在没有或仅有少量目标任务数据的情况下，让模型学习到丰富知识，从而在特定任务上的表现更好。而模型预训练通常是在大规模的语料库上进行的。</w:t>
      </w:r>
    </w:p>
    <w:p>
      <w:pPr>
        <w:pStyle w:val="4"/>
        <w:bidi w:val="0"/>
        <w:spacing w:before="57" w:beforeLines="0" w:beforeAutospacing="0" w:after="57" w:afterLines="0" w:afterAutospacing="0"/>
        <w:rPr>
          <w:rFonts w:hint="default"/>
          <w:sz w:val="30"/>
          <w:szCs w:val="30"/>
          <w:lang w:val="en-US" w:eastAsia="zh-CN"/>
        </w:rPr>
      </w:pPr>
      <w:bookmarkStart w:id="11" w:name="_Toc16374"/>
      <w:r>
        <w:rPr>
          <w:rFonts w:hint="eastAsia"/>
          <w:sz w:val="30"/>
          <w:szCs w:val="30"/>
          <w:lang w:val="en-US" w:eastAsia="zh-CN"/>
        </w:rPr>
        <w:t>什么是语料库</w:t>
      </w:r>
      <w:bookmarkEnd w:id="11"/>
    </w:p>
    <w:p>
      <w:pPr>
        <w:ind w:firstLine="420" w:firstLineChars="0"/>
        <w:rPr>
          <w:rFonts w:hint="eastAsia"/>
          <w:lang w:val="en-US" w:eastAsia="zh-CN"/>
        </w:rPr>
      </w:pPr>
      <w:r>
        <w:rPr>
          <w:rFonts w:hint="eastAsia"/>
          <w:lang w:val="en-US" w:eastAsia="zh-CN"/>
        </w:rPr>
        <w:t>语料库是一种经过组织的大量的文本或口语数据集，常用于语言研究和自然语言处理（Natural language processing，以下简称NLP）等任务。其中LLM就属于自然语言处理的范畴。语料库的数据来源可以是书籍、报纸等实体语言材料，也可以是网站文章、线上百科全书等虚拟语言材料。语料库中的数据可以是未加工的原始数据，也可以是经过某种程度加工（如关键字标注、语法结构标注等）的数据。</w:t>
      </w:r>
      <w:r>
        <w:rPr>
          <w:rFonts w:hint="eastAsia"/>
          <w:lang w:val="en-US" w:eastAsia="zh-CN"/>
        </w:rPr>
        <w:tab/>
      </w:r>
      <w:r>
        <w:rPr>
          <w:rFonts w:hint="eastAsia"/>
          <w:lang w:val="en-US" w:eastAsia="zh-CN"/>
        </w:rPr>
        <w:t>在NLP领域，语料库是语言模型训练中，最基础也是最重要的数据资源。因此为了语言模型能够更好的从语料库中习得知识，语料库的建设要遵循一系列的标准，本论文将以化学语料库为例，展示如何构建一个合格的用于LLM预训练的语料库。</w:t>
      </w:r>
    </w:p>
    <w:p>
      <w:pPr>
        <w:pStyle w:val="4"/>
        <w:bidi w:val="0"/>
        <w:spacing w:before="57" w:beforeLines="0" w:beforeAutospacing="0" w:after="57" w:afterLines="0" w:afterAutospacing="0"/>
        <w:rPr>
          <w:rFonts w:hint="default"/>
          <w:sz w:val="30"/>
          <w:szCs w:val="30"/>
          <w:lang w:val="en-US" w:eastAsia="zh-CN"/>
        </w:rPr>
      </w:pPr>
      <w:bookmarkStart w:id="12" w:name="_Toc22314"/>
      <w:r>
        <w:rPr>
          <w:rFonts w:hint="eastAsia"/>
          <w:sz w:val="30"/>
          <w:szCs w:val="30"/>
          <w:lang w:val="en-US" w:eastAsia="zh-CN"/>
        </w:rPr>
        <w:t>化学语料库数据收集</w:t>
      </w:r>
      <w:bookmarkEnd w:id="12"/>
    </w:p>
    <w:p>
      <w:pPr>
        <w:ind w:firstLine="420" w:firstLineChars="0"/>
        <w:rPr>
          <w:rFonts w:hint="default"/>
          <w:lang w:val="en-US" w:eastAsia="zh-CN"/>
        </w:rPr>
      </w:pPr>
      <w:r>
        <w:rPr>
          <w:rFonts w:hint="eastAsia"/>
          <w:lang w:val="en-US" w:eastAsia="zh-CN"/>
        </w:rPr>
        <w:t>如前文所言，语料库数据可以来自数据和报纸，也可以来自网络文章和在线百科全书。为了在确保数据来源可靠的前提，同时提高数据收集的效率，本论文选取了维基百科（Wikipedia）作为数据源。每个维基百科的页面构成都包含有大量的锚文本（用于指向另一网页或网页内的一个位置），以此来链接各个与当前搜索关键字相关的网页同时维基百科中的数据不涉及敏感数据，因此，它是一个优质的数据来源。</w:t>
      </w:r>
    </w:p>
    <w:p>
      <w:pPr>
        <w:ind w:firstLine="420" w:firstLineChars="0"/>
        <w:rPr>
          <w:rFonts w:hint="default"/>
          <w:lang w:val="en-US" w:eastAsia="zh-CN"/>
        </w:rPr>
      </w:pPr>
      <w:r>
        <w:rPr>
          <w:rFonts w:hint="eastAsia"/>
          <w:lang w:val="en-US" w:eastAsia="zh-CN"/>
        </w:rPr>
        <w:t>为获取化学领域的专业知识语料库，我们首先在维基百科首页搜索“化学”关键字，可以得到如图2所示的相关页面。其中，蓝色文字为锚文本，这些锚文本大多也是化学领域的专有名词，且它们对应的网页是这些专有名词的对应解释网页。同时该“化学”关键字的维基百科页面，还有对化学领域的二级分类，如：有机化学、无机化学、物理化学、分析化学等，一共二十二个类别，它们同样也是以锚文本的形式在维基百科页面中呈现，因此该化学领域专业数据集的多样性得到一定的保证。</w:t>
      </w:r>
    </w:p>
    <w:p>
      <w:pPr>
        <w:jc w:val="center"/>
        <w:rPr>
          <w:rFonts w:hint="default"/>
          <w:lang w:val="en-US" w:eastAsia="zh-CN"/>
        </w:rPr>
      </w:pPr>
      <w:r>
        <w:rPr>
          <w:rFonts w:hint="default"/>
          <w:lang w:val="en-US" w:eastAsia="zh-CN"/>
        </w:rPr>
        <w:drawing>
          <wp:inline distT="0" distB="0" distL="114300" distR="114300">
            <wp:extent cx="5506085" cy="2549525"/>
            <wp:effectExtent l="0" t="0" r="10795" b="10795"/>
            <wp:docPr id="2" name="图片 2" descr="维基百科--化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维基百科--化学"/>
                    <pic:cNvPicPr>
                      <a:picLocks noChangeAspect="1"/>
                    </pic:cNvPicPr>
                  </pic:nvPicPr>
                  <pic:blipFill>
                    <a:blip r:embed="rId6"/>
                    <a:stretch>
                      <a:fillRect/>
                    </a:stretch>
                  </pic:blipFill>
                  <pic:spPr>
                    <a:xfrm>
                      <a:off x="0" y="0"/>
                      <a:ext cx="5506085" cy="2549525"/>
                    </a:xfrm>
                    <a:prstGeom prst="rect">
                      <a:avLst/>
                    </a:prstGeom>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部分维基百科页面</w:t>
      </w:r>
    </w:p>
    <w:p>
      <w:pPr>
        <w:ind w:firstLine="420" w:firstLineChars="0"/>
        <w:rPr>
          <w:rFonts w:hint="eastAsia"/>
          <w:lang w:val="en-US" w:eastAsia="zh-CN"/>
        </w:rPr>
      </w:pPr>
      <w:r>
        <w:rPr>
          <w:rFonts w:hint="eastAsia"/>
          <w:lang w:val="en-US" w:eastAsia="zh-CN"/>
        </w:rPr>
        <w:t>在分析完页面数据构成后，可以以此来制定如下的数据收集方案：</w:t>
      </w:r>
    </w:p>
    <w:p>
      <w:pPr>
        <w:numPr>
          <w:ilvl w:val="0"/>
          <w:numId w:val="2"/>
        </w:numPr>
        <w:ind w:left="700" w:leftChars="0" w:firstLine="420" w:firstLineChars="0"/>
        <w:rPr>
          <w:rFonts w:hint="default"/>
          <w:highlight w:val="none"/>
          <w:lang w:val="en-US" w:eastAsia="zh-CN"/>
        </w:rPr>
      </w:pPr>
      <w:r>
        <w:rPr>
          <w:rFonts w:hint="eastAsia"/>
          <w:highlight w:val="none"/>
          <w:lang w:val="en-US" w:eastAsia="zh-CN"/>
        </w:rPr>
        <w:t>编写爬虫脚本，爬取“化学”维基百科页面中的锚文本及其包含的网页链接。</w:t>
      </w:r>
    </w:p>
    <w:p>
      <w:pPr>
        <w:numPr>
          <w:ilvl w:val="0"/>
          <w:numId w:val="2"/>
        </w:numPr>
        <w:ind w:left="700" w:leftChars="0" w:firstLine="420" w:firstLineChars="0"/>
        <w:outlineLvl w:val="0"/>
        <w:rPr>
          <w:rFonts w:hint="default"/>
          <w:highlight w:val="none"/>
          <w:lang w:val="en-US" w:eastAsia="zh-CN"/>
        </w:rPr>
      </w:pPr>
      <w:bookmarkStart w:id="13" w:name="_Toc17776"/>
      <w:r>
        <w:rPr>
          <w:rFonts w:hint="eastAsia"/>
          <w:highlight w:val="none"/>
          <w:lang w:val="en-US" w:eastAsia="zh-CN"/>
        </w:rPr>
        <w:t>进行锚文本的数据清洗，去除脏数据以及隐私数据。</w:t>
      </w:r>
      <w:bookmarkEnd w:id="13"/>
    </w:p>
    <w:p>
      <w:pPr>
        <w:numPr>
          <w:ilvl w:val="0"/>
          <w:numId w:val="2"/>
        </w:numPr>
        <w:ind w:left="700" w:leftChars="0" w:firstLine="420" w:firstLineChars="0"/>
        <w:rPr>
          <w:rFonts w:hint="default"/>
          <w:highlight w:val="none"/>
          <w:lang w:val="en-US" w:eastAsia="zh-CN"/>
        </w:rPr>
      </w:pPr>
      <w:r>
        <w:rPr>
          <w:rFonts w:hint="eastAsia"/>
          <w:highlight w:val="none"/>
          <w:lang w:val="en-US" w:eastAsia="zh-CN"/>
        </w:rPr>
        <w:t>根据所爬取的文本——链接数据对，爬取锚文本对应的网页中，对该关键字的解释描述。</w:t>
      </w:r>
    </w:p>
    <w:p>
      <w:pPr>
        <w:numPr>
          <w:ilvl w:val="0"/>
          <w:numId w:val="2"/>
        </w:numPr>
        <w:ind w:left="700" w:leftChars="0" w:firstLine="420" w:firstLineChars="0"/>
        <w:outlineLvl w:val="0"/>
        <w:rPr>
          <w:rFonts w:hint="default"/>
          <w:highlight w:val="none"/>
          <w:lang w:val="en-US" w:eastAsia="zh-CN"/>
        </w:rPr>
      </w:pPr>
      <w:bookmarkStart w:id="14" w:name="_Toc17644"/>
      <w:r>
        <w:rPr>
          <w:rFonts w:hint="eastAsia"/>
          <w:highlight w:val="none"/>
          <w:lang w:val="en-US" w:eastAsia="zh-CN"/>
        </w:rPr>
        <w:t>进行所得语料库的数据清洗，去除脏数据以及隐私数据。</w:t>
      </w:r>
      <w:bookmarkEnd w:id="14"/>
    </w:p>
    <w:p>
      <w:pPr>
        <w:widowControl w:val="0"/>
        <w:numPr>
          <w:ilvl w:val="0"/>
          <w:numId w:val="0"/>
        </w:numPr>
        <w:ind w:firstLine="420" w:firstLineChars="0"/>
        <w:jc w:val="both"/>
        <w:rPr>
          <w:rFonts w:hint="eastAsia"/>
          <w:lang w:val="en-US" w:eastAsia="zh-CN"/>
        </w:rPr>
      </w:pPr>
      <w:r>
        <w:rPr>
          <w:rFonts w:hint="eastAsia"/>
          <w:lang w:val="en-US" w:eastAsia="zh-CN"/>
        </w:rPr>
        <w:t>按照上述步骤进行第一步锚文本爬取，分析维基百科页面的HTML代码，可以确定锚文本及其链接在HTML代码中属于&lt;a&gt;&lt;/a&gt;标签中的内容。由于网页中存在无效链接，即链接对应网页为空，这类链接所在的a标签中包含有类名为new的css类，因此还需要在爬虫脚本中忽略对该类无效链接的爬取。</w:t>
      </w:r>
    </w:p>
    <w:p>
      <w:pPr>
        <w:widowControl w:val="0"/>
        <w:numPr>
          <w:ilvl w:val="0"/>
          <w:numId w:val="0"/>
        </w:numPr>
        <w:ind w:firstLine="420" w:firstLineChars="0"/>
        <w:jc w:val="both"/>
        <w:rPr>
          <w:rFonts w:hint="eastAsia"/>
          <w:lang w:val="en-US" w:eastAsia="zh-CN"/>
        </w:rPr>
      </w:pPr>
      <w:r>
        <w:rPr>
          <w:rFonts w:hint="eastAsia"/>
          <w:lang w:val="en-US" w:eastAsia="zh-CN"/>
        </w:rPr>
        <w:t>在第一次爬取后，可以得到1215对锚文本-链接对，如表1所示。经过步骤二数据清洗后，可以得到321对干净的锚文本-链接对。由于所得数据较少，因此本论文在第一次爬取数据的基础上进行了二轮迭代，得到26729对数据，清洗后共9639对数据。</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2"/>
        <w:gridCol w:w="6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锚文本</w:t>
            </w:r>
          </w:p>
        </w:tc>
        <w:tc>
          <w:tcPr>
            <w:tcW w:w="6310"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化学元素</w:t>
            </w:r>
          </w:p>
        </w:tc>
        <w:tc>
          <w:tcPr>
            <w:tcW w:w="6310"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https://zh.wikipedia.org/wiki/%E5%8C%96%E5%AD%B8%E5%85%83%E7%B4%A0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中子</w:t>
            </w:r>
          </w:p>
        </w:tc>
        <w:tc>
          <w:tcPr>
            <w:tcW w:w="6310"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https://zh.wikipedia.org/wiki/%E4%B8%AD%E5%AD%90中子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w:t>
            </w:r>
          </w:p>
        </w:tc>
        <w:tc>
          <w:tcPr>
            <w:tcW w:w="6310"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w:t>
            </w:r>
          </w:p>
        </w:tc>
      </w:tr>
    </w:tbl>
    <w:p>
      <w:pPr>
        <w:pStyle w:val="11"/>
        <w:jc w:val="center"/>
        <w:rPr>
          <w:rFonts w:hint="eastAsia"/>
          <w:lang w:val="en-US"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锚文本-链接对</w:t>
      </w:r>
    </w:p>
    <w:p>
      <w:pPr>
        <w:pStyle w:val="4"/>
        <w:bidi w:val="0"/>
        <w:spacing w:before="57" w:beforeLines="0" w:beforeAutospacing="0" w:after="57" w:afterLines="0" w:afterAutospacing="0"/>
        <w:outlineLvl w:val="1"/>
        <w:rPr>
          <w:rFonts w:hint="default"/>
          <w:sz w:val="30"/>
          <w:szCs w:val="30"/>
          <w:lang w:val="en-US" w:eastAsia="zh-CN"/>
        </w:rPr>
      </w:pPr>
      <w:bookmarkStart w:id="15" w:name="_Toc30141"/>
      <w:r>
        <w:rPr>
          <w:rFonts w:hint="eastAsia"/>
          <w:sz w:val="30"/>
          <w:szCs w:val="30"/>
          <w:lang w:val="en-US" w:eastAsia="zh-CN"/>
        </w:rPr>
        <w:t>数据清洗和格式处理</w:t>
      </w:r>
      <w:bookmarkEnd w:id="15"/>
    </w:p>
    <w:p>
      <w:pPr>
        <w:ind w:firstLine="420" w:firstLineChars="0"/>
        <w:rPr>
          <w:rFonts w:hint="eastAsia"/>
          <w:lang w:val="en-US" w:eastAsia="zh-CN"/>
        </w:rPr>
      </w:pPr>
      <w:r>
        <w:rPr>
          <w:rFonts w:hint="eastAsia"/>
          <w:lang w:val="en-US" w:eastAsia="zh-CN"/>
        </w:rPr>
        <w:t>本节将讨论在上一节收集数据的过程中，如何进行数据清理。由于是对维基百科页面的锚文本进行爬取，因此不可避免会爬取下来非常多的脏数据，如表2所示。</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2"/>
        <w:gridCol w:w="6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锚文本</w:t>
            </w:r>
          </w:p>
        </w:tc>
        <w:tc>
          <w:tcPr>
            <w:tcW w:w="6310"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tcPr>
          <w:p>
            <w:pPr>
              <w:widowControl w:val="0"/>
              <w:numPr>
                <w:ilvl w:val="0"/>
                <w:numId w:val="0"/>
              </w:numPr>
              <w:jc w:val="center"/>
              <w:rPr>
                <w:rFonts w:hint="default"/>
                <w:vertAlign w:val="baseline"/>
                <w:lang w:val="en-US" w:eastAsia="zh-CN"/>
              </w:rPr>
            </w:pPr>
            <w:r>
              <w:rPr>
                <w:rFonts w:hint="default"/>
                <w:vertAlign w:val="baseline"/>
                <w:lang w:val="en-US" w:eastAsia="zh-CN"/>
              </w:rPr>
              <w:t>编辑</w:t>
            </w:r>
          </w:p>
        </w:tc>
        <w:tc>
          <w:tcPr>
            <w:tcW w:w="6310" w:type="dxa"/>
          </w:tcPr>
          <w:p>
            <w:pPr>
              <w:widowControl w:val="0"/>
              <w:numPr>
                <w:ilvl w:val="0"/>
                <w:numId w:val="0"/>
              </w:numPr>
              <w:jc w:val="center"/>
              <w:rPr>
                <w:rFonts w:hint="default"/>
                <w:vertAlign w:val="baseline"/>
                <w:lang w:val="en-US" w:eastAsia="zh-CN"/>
              </w:rPr>
            </w:pPr>
            <w:r>
              <w:rPr>
                <w:rFonts w:hint="default"/>
                <w:vertAlign w:val="baseline"/>
                <w:lang w:val="en-US" w:eastAsia="zh-CN"/>
              </w:rPr>
              <w:t>/w/index.php?title=%E7%94%9F%E7%89%A9%E6%AD%A3%E4%BA%A4%E5%8C%96%E5%AD%A6&amp;action=edit&amp;section=2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tcPr>
          <w:p>
            <w:pPr>
              <w:widowControl w:val="0"/>
              <w:numPr>
                <w:ilvl w:val="0"/>
                <w:numId w:val="0"/>
              </w:numPr>
              <w:jc w:val="center"/>
              <w:rPr>
                <w:rFonts w:hint="default"/>
                <w:vertAlign w:val="baseline"/>
                <w:lang w:val="en-US" w:eastAsia="zh-CN"/>
              </w:rPr>
            </w:pPr>
            <w:r>
              <w:rPr>
                <w:rFonts w:hint="default"/>
                <w:vertAlign w:val="baseline"/>
                <w:lang w:val="en-US" w:eastAsia="zh-CN"/>
              </w:rPr>
              <w:t>[13]</w:t>
            </w:r>
          </w:p>
        </w:tc>
        <w:tc>
          <w:tcPr>
            <w:tcW w:w="6310" w:type="dxa"/>
          </w:tcPr>
          <w:p>
            <w:pPr>
              <w:widowControl w:val="0"/>
              <w:numPr>
                <w:ilvl w:val="0"/>
                <w:numId w:val="0"/>
              </w:numPr>
              <w:jc w:val="center"/>
              <w:rPr>
                <w:rFonts w:hint="default"/>
                <w:vertAlign w:val="baseline"/>
                <w:lang w:val="en-US" w:eastAsia="zh-CN"/>
              </w:rPr>
            </w:pPr>
            <w:r>
              <w:rPr>
                <w:rFonts w:hint="default"/>
                <w:vertAlign w:val="baseline"/>
                <w:lang w:val="en-US" w:eastAsia="zh-CN"/>
              </w:rPr>
              <w:t>#cite_note-13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tcPr>
          <w:p>
            <w:pPr>
              <w:widowControl w:val="0"/>
              <w:numPr>
                <w:ilvl w:val="0"/>
                <w:numId w:val="0"/>
              </w:numPr>
              <w:jc w:val="center"/>
              <w:rPr>
                <w:rFonts w:hint="default"/>
                <w:vertAlign w:val="baseline"/>
                <w:lang w:val="en-US" w:eastAsia="zh-CN"/>
              </w:rPr>
            </w:pPr>
            <w:r>
              <w:rPr>
                <w:rFonts w:hint="eastAsia"/>
                <w:vertAlign w:val="baseline"/>
                <w:lang w:val="en-US" w:eastAsia="zh-CN"/>
              </w:rPr>
              <w:t>Null</w:t>
            </w:r>
          </w:p>
        </w:tc>
        <w:tc>
          <w:tcPr>
            <w:tcW w:w="6310" w:type="dxa"/>
          </w:tcPr>
          <w:p>
            <w:pPr>
              <w:widowControl w:val="0"/>
              <w:numPr>
                <w:ilvl w:val="0"/>
                <w:numId w:val="0"/>
              </w:numPr>
              <w:jc w:val="center"/>
              <w:rPr>
                <w:rFonts w:hint="default"/>
                <w:vertAlign w:val="baseline"/>
                <w:lang w:val="en-US" w:eastAsia="zh-CN"/>
              </w:rPr>
            </w:pPr>
            <w:r>
              <w:rPr>
                <w:rFonts w:hint="default"/>
                <w:vertAlign w:val="baseline"/>
                <w:lang w:val="en-US" w:eastAsia="zh-CN"/>
              </w:rPr>
              <w:t>https://zh.wikipedia.org/wiki/File:Norbornenecycloaddnmech.png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tcPr>
          <w:p>
            <w:pPr>
              <w:widowControl w:val="0"/>
              <w:numPr>
                <w:ilvl w:val="0"/>
                <w:numId w:val="0"/>
              </w:numPr>
              <w:jc w:val="center"/>
              <w:rPr>
                <w:rFonts w:hint="default"/>
                <w:vertAlign w:val="baseline"/>
                <w:lang w:val="en-US" w:eastAsia="zh-CN"/>
              </w:rPr>
            </w:pPr>
            <w:r>
              <w:rPr>
                <w:rFonts w:hint="eastAsia"/>
                <w:vertAlign w:val="baseline"/>
                <w:lang w:val="en-US" w:eastAsia="zh-CN"/>
              </w:rPr>
              <w:t>……</w:t>
            </w:r>
          </w:p>
        </w:tc>
        <w:tc>
          <w:tcPr>
            <w:tcW w:w="6310" w:type="dxa"/>
          </w:tcPr>
          <w:p>
            <w:pPr>
              <w:widowControl w:val="0"/>
              <w:numPr>
                <w:ilvl w:val="0"/>
                <w:numId w:val="0"/>
              </w:numPr>
              <w:jc w:val="center"/>
              <w:rPr>
                <w:rFonts w:hint="default"/>
                <w:vertAlign w:val="baseline"/>
                <w:lang w:val="en-US" w:eastAsia="zh-CN"/>
              </w:rPr>
            </w:pPr>
            <w:r>
              <w:rPr>
                <w:rFonts w:hint="eastAsia"/>
                <w:vertAlign w:val="baseline"/>
                <w:lang w:val="en-US" w:eastAsia="zh-CN"/>
              </w:rPr>
              <w:t>……</w:t>
            </w:r>
          </w:p>
        </w:tc>
      </w:tr>
    </w:tbl>
    <w:p>
      <w:pPr>
        <w:pStyle w:val="11"/>
        <w:jc w:val="center"/>
        <w:rPr>
          <w:rFonts w:hint="eastAsia" w:eastAsia="宋体"/>
          <w:lang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 xml:space="preserve"> 脏数据示例</w:t>
      </w:r>
    </w:p>
    <w:p>
      <w:pPr>
        <w:ind w:firstLine="420" w:firstLineChars="0"/>
        <w:rPr>
          <w:rFonts w:hint="default"/>
          <w:lang w:val="en-US" w:eastAsia="zh-CN"/>
        </w:rPr>
      </w:pPr>
      <w:r>
        <w:rPr>
          <w:rFonts w:hint="eastAsia"/>
          <w:lang w:val="en-US" w:eastAsia="zh-CN"/>
        </w:rPr>
        <w:t>数据清洗的标准为清除与化学领域无关的数据，对于特征明显的脏数据，比如冗余数据、链接格式不正确、非中文维基百科的网页链接、空数据和如“编辑”、[13]等字样的脏数据，可以直接通过编写正则匹配脚本来进行数据的清洗。但对于其他明显与化学领域无关但又无法总结出正则匹配规则的数据，只能通过人工进行数据筛选清洗。</w:t>
      </w:r>
    </w:p>
    <w:p>
      <w:pPr>
        <w:ind w:firstLine="420" w:firstLineChars="0"/>
        <w:rPr>
          <w:rFonts w:hint="default"/>
          <w:lang w:val="en-US" w:eastAsia="zh-CN"/>
        </w:rPr>
      </w:pPr>
      <w:r>
        <w:rPr>
          <w:rFonts w:hint="eastAsia"/>
          <w:lang w:val="en-US" w:eastAsia="zh-CN"/>
        </w:rPr>
        <w:t>值得一提的是，在第二次迭代爬取数据前，必须先进行一次数据清理，否则在第二次迭代爬取数据的过程中，爬取出来的脏数据会成倍的增长，加大了数据清洗的难度。最终两次迭代获得的数据量为9639。</w:t>
      </w:r>
    </w:p>
    <w:p>
      <w:pPr>
        <w:ind w:firstLine="420" w:firstLineChars="0"/>
        <w:rPr>
          <w:rFonts w:hint="default"/>
          <w:lang w:val="en-US" w:eastAsia="zh-CN"/>
        </w:rPr>
      </w:pPr>
      <w:r>
        <w:rPr>
          <w:rFonts w:hint="eastAsia"/>
          <w:lang w:val="en-US" w:eastAsia="zh-CN"/>
        </w:rPr>
        <w:t>在锚文本-链接对数据清理完毕后，下一步为通过这些锚文本-链接数据，根据其中的网页链接，爬取对应化学关键字的描述。在维基百科中，通过锚文本跳转的网页H1标题（HTML中的H1标题）即为该锚文本的内容，而该关键词的解释描述，即在该标签下，因此便可以设定对应的规则，进行数据爬取。爬取的数据如表3所示。之后进一步对获取的数据进行与锚文本-链接数据相同的数据清洗流程。即可获得8924条数据。asdad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7"/>
        <w:gridCol w:w="2380"/>
        <w:gridCol w:w="4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1387" w:type="dxa"/>
            <w:vAlign w:val="top"/>
          </w:tcPr>
          <w:p>
            <w:pPr>
              <w:jc w:val="center"/>
              <w:rPr>
                <w:rFonts w:hint="default"/>
                <w:vertAlign w:val="baseline"/>
                <w:lang w:val="en-US" w:eastAsia="zh-CN"/>
              </w:rPr>
            </w:pPr>
            <w:r>
              <w:rPr>
                <w:rFonts w:hint="eastAsia"/>
                <w:vertAlign w:val="baseline"/>
                <w:lang w:val="en-US" w:eastAsia="zh-CN"/>
              </w:rPr>
              <w:t>关键字</w:t>
            </w:r>
          </w:p>
        </w:tc>
        <w:tc>
          <w:tcPr>
            <w:tcW w:w="2380" w:type="dxa"/>
            <w:vAlign w:val="top"/>
          </w:tcPr>
          <w:p>
            <w:pPr>
              <w:jc w:val="center"/>
              <w:rPr>
                <w:rFonts w:hint="default"/>
                <w:vertAlign w:val="baseline"/>
                <w:lang w:val="en-US" w:eastAsia="zh-CN"/>
              </w:rPr>
            </w:pPr>
            <w:r>
              <w:rPr>
                <w:rFonts w:hint="eastAsia"/>
                <w:vertAlign w:val="baseline"/>
                <w:lang w:val="en-US" w:eastAsia="zh-CN"/>
              </w:rPr>
              <w:t>网址</w:t>
            </w:r>
          </w:p>
        </w:tc>
        <w:tc>
          <w:tcPr>
            <w:tcW w:w="4755" w:type="dxa"/>
            <w:vAlign w:val="top"/>
          </w:tcPr>
          <w:p>
            <w:pPr>
              <w:jc w:val="center"/>
              <w:rPr>
                <w:rFonts w:hint="default"/>
                <w:vertAlign w:val="baseline"/>
                <w:lang w:val="en-US" w:eastAsia="zh-CN"/>
              </w:rPr>
            </w:pPr>
            <w:r>
              <w:rPr>
                <w:rFonts w:hint="eastAsia"/>
                <w:vertAlign w:val="baseline"/>
                <w:lang w:val="en-US" w:eastAsia="zh-CN"/>
              </w:rPr>
              <w:t>解释文本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1387" w:type="dxa"/>
            <w:vAlign w:val="top"/>
          </w:tcPr>
          <w:p>
            <w:pPr>
              <w:jc w:val="center"/>
              <w:rPr>
                <w:rFonts w:hint="default"/>
                <w:vertAlign w:val="baseline"/>
                <w:lang w:val="en-US" w:eastAsia="zh-CN"/>
              </w:rPr>
            </w:pPr>
            <w:r>
              <w:rPr>
                <w:rFonts w:hint="default"/>
                <w:vertAlign w:val="baseline"/>
                <w:lang w:val="en-US" w:eastAsia="zh-CN"/>
              </w:rPr>
              <w:t>晶体</w:t>
            </w:r>
          </w:p>
        </w:tc>
        <w:tc>
          <w:tcPr>
            <w:tcW w:w="2380" w:type="dxa"/>
            <w:vAlign w:val="top"/>
          </w:tcPr>
          <w:p>
            <w:pPr>
              <w:jc w:val="center"/>
              <w:rPr>
                <w:rFonts w:hint="eastAsia"/>
                <w:vertAlign w:val="baseline"/>
                <w:lang w:val="en-US" w:eastAsia="zh-CN"/>
              </w:rPr>
            </w:pPr>
            <w:r>
              <w:rPr>
                <w:rFonts w:hint="eastAsia"/>
                <w:vertAlign w:val="baseline"/>
                <w:lang w:val="en-US" w:eastAsia="zh-CN"/>
              </w:rPr>
              <w:t>https://zh.wikipe...a.org/wiki/...%E6%99%B6%E4%BD%93</w:t>
            </w:r>
          </w:p>
        </w:tc>
        <w:tc>
          <w:tcPr>
            <w:tcW w:w="4755" w:type="dxa"/>
            <w:vAlign w:val="top"/>
          </w:tcPr>
          <w:p>
            <w:pPr>
              <w:jc w:val="center"/>
              <w:rPr>
                <w:rFonts w:hint="eastAsia"/>
                <w:vertAlign w:val="baseline"/>
                <w:lang w:val="en-US" w:eastAsia="zh-CN"/>
              </w:rPr>
            </w:pPr>
            <w:r>
              <w:rPr>
                <w:rFonts w:hint="eastAsia"/>
                <w:vertAlign w:val="baseline"/>
                <w:lang w:val="en-US" w:eastAsia="zh-CN"/>
              </w:rPr>
              <w:t>晶体是原子、离子或分子按照一定...周期性，在结晶过程中，在空间排列形成具有一定规则的几何外形的固体。</w:t>
            </w:r>
          </w:p>
          <w:p>
            <w:pPr>
              <w:jc w:val="center"/>
              <w:rPr>
                <w:rFonts w:hint="eastAsia"/>
                <w:vertAlign w:val="baseline"/>
                <w:lang w:val="en-US" w:eastAsia="zh-CN"/>
              </w:rPr>
            </w:pPr>
            <w:r>
              <w:rPr>
                <w:rFonts w:hint="eastAsia"/>
                <w:vertAlign w:val="baseline"/>
                <w:lang w:val="en-US" w:eastAsia="zh-CN"/>
              </w:rPr>
              <w:t>晶体的分布非常广泛，自然界的固体物质中，绝大多数是晶体。气体、液体和非晶物质在一定的合适条件下也可以转变成晶体。</w:t>
            </w:r>
          </w:p>
          <w:p>
            <w:pPr>
              <w:jc w:val="center"/>
              <w:rPr>
                <w:rFonts w:hint="eastAsia"/>
                <w:vertAlign w:val="baseline"/>
                <w:lang w:val="en-US" w:eastAsia="zh-CN"/>
              </w:rPr>
            </w:pPr>
            <w:r>
              <w:rPr>
                <w:rFonts w:hint="eastAsia"/>
                <w:vertAlign w:val="baseline"/>
                <w:lang w:val="en-US" w:eastAsia="zh-CN"/>
              </w:rPr>
              <w:t>晶体内部原子或分子排列的三维空间周期性结构，是晶体最基本的、最本质的特征，并使晶体具有下面的通性：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1387" w:type="dxa"/>
            <w:vAlign w:val="top"/>
          </w:tcPr>
          <w:p>
            <w:pPr>
              <w:jc w:val="center"/>
              <w:rPr>
                <w:rFonts w:hint="eastAsia"/>
                <w:vertAlign w:val="baseline"/>
                <w:lang w:val="en-US" w:eastAsia="zh-CN"/>
              </w:rPr>
            </w:pPr>
            <w:r>
              <w:rPr>
                <w:rFonts w:hint="eastAsia"/>
                <w:vertAlign w:val="baseline"/>
                <w:lang w:val="en-US" w:eastAsia="zh-CN"/>
              </w:rPr>
              <w:t>单质</w:t>
            </w:r>
          </w:p>
        </w:tc>
        <w:tc>
          <w:tcPr>
            <w:tcW w:w="2380" w:type="dxa"/>
            <w:vAlign w:val="top"/>
          </w:tcPr>
          <w:p>
            <w:pPr>
              <w:jc w:val="center"/>
              <w:rPr>
                <w:rFonts w:hint="eastAsia"/>
                <w:vertAlign w:val="baseline"/>
                <w:lang w:val="en-US" w:eastAsia="zh-CN"/>
              </w:rPr>
            </w:pPr>
            <w:r>
              <w:rPr>
                <w:rFonts w:hint="eastAsia"/>
                <w:vertAlign w:val="baseline"/>
                <w:lang w:val="en-US" w:eastAsia="zh-CN"/>
              </w:rPr>
              <w:t>https://zh.wikipe...</w:t>
            </w:r>
          </w:p>
        </w:tc>
        <w:tc>
          <w:tcPr>
            <w:tcW w:w="4755" w:type="dxa"/>
            <w:vAlign w:val="top"/>
          </w:tcPr>
          <w:p>
            <w:pPr>
              <w:jc w:val="center"/>
              <w:rPr>
                <w:rFonts w:hint="default"/>
                <w:vertAlign w:val="baseline"/>
                <w:lang w:val="en-US" w:eastAsia="zh-CN"/>
              </w:rPr>
            </w:pPr>
            <w:r>
              <w:rPr>
                <w:rFonts w:hint="eastAsia"/>
                <w:vertAlign w:val="baseline"/>
                <w:lang w:val="en-US" w:eastAsia="zh-CN"/>
              </w:rPr>
              <w:t>单质又称单纯物质、元素态物...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1387" w:type="dxa"/>
            <w:vAlign w:val="top"/>
          </w:tcPr>
          <w:p>
            <w:pPr>
              <w:jc w:val="center"/>
              <w:rPr>
                <w:rFonts w:hint="default"/>
                <w:vertAlign w:val="baseline"/>
                <w:lang w:val="en-US" w:eastAsia="zh-CN"/>
              </w:rPr>
            </w:pPr>
            <w:r>
              <w:rPr>
                <w:rFonts w:hint="eastAsia"/>
                <w:vertAlign w:val="baseline"/>
                <w:lang w:val="en-US" w:eastAsia="zh-CN"/>
              </w:rPr>
              <w:t>……</w:t>
            </w:r>
          </w:p>
        </w:tc>
        <w:tc>
          <w:tcPr>
            <w:tcW w:w="2380" w:type="dxa"/>
            <w:vAlign w:val="top"/>
          </w:tcPr>
          <w:p>
            <w:pPr>
              <w:jc w:val="center"/>
              <w:rPr>
                <w:rFonts w:hint="eastAsia"/>
                <w:vertAlign w:val="baseline"/>
                <w:lang w:val="en-US" w:eastAsia="zh-CN"/>
              </w:rPr>
            </w:pPr>
            <w:r>
              <w:rPr>
                <w:rFonts w:hint="eastAsia"/>
                <w:vertAlign w:val="baseline"/>
                <w:lang w:val="en-US" w:eastAsia="zh-CN"/>
              </w:rPr>
              <w:t>……</w:t>
            </w:r>
          </w:p>
        </w:tc>
        <w:tc>
          <w:tcPr>
            <w:tcW w:w="4755" w:type="dxa"/>
            <w:vAlign w:val="top"/>
          </w:tcPr>
          <w:p>
            <w:pPr>
              <w:jc w:val="center"/>
              <w:rPr>
                <w:rFonts w:hint="eastAsia"/>
                <w:vertAlign w:val="baseline"/>
                <w:lang w:val="en-US" w:eastAsia="zh-CN"/>
              </w:rPr>
            </w:pPr>
            <w:r>
              <w:rPr>
                <w:rFonts w:hint="eastAsia"/>
                <w:vertAlign w:val="baseline"/>
                <w:lang w:val="en-US" w:eastAsia="zh-CN"/>
              </w:rPr>
              <w:t>……</w:t>
            </w:r>
          </w:p>
        </w:tc>
      </w:tr>
    </w:tbl>
    <w:p>
      <w:pPr>
        <w:pStyle w:val="11"/>
        <w:jc w:val="center"/>
        <w:rPr>
          <w:rFonts w:hint="eastAsia"/>
          <w:lang w:val="en-US" w:eastAsia="zh-CN"/>
        </w:rPr>
      </w:pPr>
      <w:r>
        <w:t xml:space="preserve">表 </w:t>
      </w:r>
      <w:r>
        <w:fldChar w:fldCharType="begin"/>
      </w:r>
      <w:r>
        <w:instrText xml:space="preserve"> SEQ 表 \* ARABIC </w:instrText>
      </w:r>
      <w:r>
        <w:fldChar w:fldCharType="separate"/>
      </w:r>
      <w:r>
        <w:t>3</w:t>
      </w:r>
      <w:r>
        <w:fldChar w:fldCharType="end"/>
      </w:r>
      <w:r>
        <w:rPr>
          <w:rFonts w:hint="eastAsia"/>
          <w:lang w:eastAsia="zh-CN"/>
        </w:rPr>
        <w:t xml:space="preserve"> 语料库数据示例</w:t>
      </w:r>
    </w:p>
    <w:p>
      <w:pPr>
        <w:ind w:firstLine="420" w:firstLineChars="0"/>
        <w:rPr>
          <w:rFonts w:hint="eastAsia"/>
          <w:lang w:val="en-US" w:eastAsia="zh-CN"/>
        </w:rPr>
      </w:pPr>
      <w:r>
        <w:rPr>
          <w:rFonts w:hint="eastAsia"/>
          <w:lang w:val="en-US" w:eastAsia="zh-CN"/>
        </w:rPr>
        <w:t>对于语料库的格式，本论文决定采用JSON格式进行保存。JSON格式相对于其他格式的文件，它具有轻量级、数据交换效率高、具有良好的跨平台兼容性等优点，因此JSON是存储语料库数据的理想选择。保存结果如图3所示，其中各字段分别为：id（序号）、url（内容所在网址）、title（化学专有词）、text（解释文本，其中不同文段用\n\n分割开）。</w:t>
      </w:r>
    </w:p>
    <w:p>
      <w:pPr>
        <w:jc w:val="center"/>
        <w:rPr>
          <w:rFonts w:hint="eastAsia"/>
          <w:lang w:val="en-US" w:eastAsia="zh-CN"/>
        </w:rPr>
      </w:pPr>
      <w:r>
        <w:rPr>
          <w:rFonts w:hint="eastAsia"/>
          <w:lang w:val="en-US" w:eastAsia="zh-CN"/>
        </w:rPr>
        <w:drawing>
          <wp:inline distT="0" distB="0" distL="114300" distR="114300">
            <wp:extent cx="5273675" cy="1588770"/>
            <wp:effectExtent l="0" t="0" r="14605" b="11430"/>
            <wp:docPr id="5" name="图片 5" descr="JSON格式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JSON格式示例"/>
                    <pic:cNvPicPr>
                      <a:picLocks noChangeAspect="1"/>
                    </pic:cNvPicPr>
                  </pic:nvPicPr>
                  <pic:blipFill>
                    <a:blip r:embed="rId7"/>
                    <a:stretch>
                      <a:fillRect/>
                    </a:stretch>
                  </pic:blipFill>
                  <pic:spPr>
                    <a:xfrm>
                      <a:off x="0" y="0"/>
                      <a:ext cx="5273675" cy="1588770"/>
                    </a:xfrm>
                    <a:prstGeom prst="rect">
                      <a:avLst/>
                    </a:prstGeom>
                  </pic:spPr>
                </pic:pic>
              </a:graphicData>
            </a:graphic>
          </wp:inline>
        </w:drawing>
      </w:r>
    </w:p>
    <w:p>
      <w:pPr>
        <w:pStyle w:val="11"/>
        <w:jc w:val="center"/>
        <w:rPr>
          <w:rFonts w:hint="eastAsia" w:eastAsia="宋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JSON格式存储示例</w:t>
      </w:r>
    </w:p>
    <w:p>
      <w:pPr>
        <w:pStyle w:val="3"/>
        <w:bidi w:val="0"/>
        <w:outlineLvl w:val="2"/>
        <w:rPr>
          <w:rFonts w:hint="default"/>
          <w:lang w:val="en-US" w:eastAsia="zh-CN"/>
        </w:rPr>
      </w:pPr>
      <w:bookmarkStart w:id="16" w:name="_Toc27367"/>
      <w:r>
        <w:rPr>
          <w:rFonts w:hint="eastAsia"/>
          <w:lang w:val="en-US" w:eastAsia="zh-CN"/>
        </w:rPr>
        <w:t>QA数据集设计</w:t>
      </w:r>
      <w:bookmarkEnd w:id="16"/>
    </w:p>
    <w:p>
      <w:pPr>
        <w:ind w:firstLine="420" w:firstLineChars="0"/>
        <w:rPr>
          <w:rFonts w:hint="default"/>
          <w:lang w:val="en-US" w:eastAsia="zh-CN"/>
        </w:rPr>
      </w:pPr>
      <w:r>
        <w:rPr>
          <w:rFonts w:hint="eastAsia"/>
          <w:lang w:val="en-US" w:eastAsia="zh-CN"/>
        </w:rPr>
        <w:t>模型微调，是指在一个已经在大规模数据集上预训练过的模型，进一步在特定任务的较小数据集上进行训练，以适应特定任务的需求。QA数据集通常包含一系列的问题以及答案，这些数据集可以有效的帮助模型学习理解问题的上下文意图，以及如何从给定的信息源中检索或推理出正确的答案。正因为QA数据集有着这些有点，因此QA数据集非常适合用于LLM的特定任务微调训练。</w:t>
      </w:r>
    </w:p>
    <w:p>
      <w:pPr>
        <w:pStyle w:val="4"/>
        <w:bidi w:val="0"/>
        <w:spacing w:before="57" w:beforeLines="0" w:beforeAutospacing="0" w:after="57" w:afterLines="0" w:afterAutospacing="0"/>
        <w:outlineLvl w:val="1"/>
        <w:rPr>
          <w:rFonts w:hint="default"/>
          <w:sz w:val="30"/>
          <w:szCs w:val="30"/>
          <w:lang w:val="en-US" w:eastAsia="zh-CN"/>
        </w:rPr>
      </w:pPr>
      <w:bookmarkStart w:id="17" w:name="_Toc29767"/>
      <w:r>
        <w:rPr>
          <w:rFonts w:hint="eastAsia"/>
          <w:sz w:val="30"/>
          <w:szCs w:val="30"/>
          <w:lang w:val="en-US" w:eastAsia="zh-CN"/>
        </w:rPr>
        <w:t>QA数据收集</w:t>
      </w:r>
      <w:bookmarkEnd w:id="17"/>
    </w:p>
    <w:p>
      <w:pPr>
        <w:ind w:firstLine="420" w:firstLineChars="0"/>
        <w:rPr>
          <w:rFonts w:hint="eastAsia"/>
          <w:lang w:val="en-US" w:eastAsia="zh-CN"/>
        </w:rPr>
      </w:pPr>
      <w:r>
        <w:rPr>
          <w:rFonts w:hint="eastAsia"/>
          <w:lang w:val="en-US" w:eastAsia="zh-CN"/>
        </w:rPr>
        <w:t>由于需要收集化学领域的专业知识问答数据，而维基百科中提供的更多为名词解释性数据，因此化学领域QA问答数据无法照搬上文中语料库的做法。权威的专业知识论坛中，有非常多高质量的问答记录，因此将论坛选为QA数据源。</w:t>
      </w:r>
    </w:p>
    <w:p>
      <w:pPr>
        <w:ind w:firstLine="420" w:firstLineChars="0"/>
        <w:rPr>
          <w:rFonts w:hint="eastAsia"/>
          <w:lang w:val="en-US" w:eastAsia="zh-CN"/>
        </w:rPr>
      </w:pPr>
      <w:r>
        <w:rPr>
          <w:rFonts w:hint="eastAsia"/>
          <w:lang w:val="en-US" w:eastAsia="zh-CN"/>
        </w:rPr>
        <w:t>目前比较流行的专业知识论坛网站有：知乎、CSDN、Stackoverflow和Quora等。其中，CSDN和Stackoverflow是专注于计算机领域的论坛，而知乎中的数据残次率又十分高，因此上述三个论坛网站并不适用于做数据集的数据来源。Quora论坛中，有明确分出不同的知识领域，其中就有化学的专业知识领域，且其中的问答数据均有实时更新，具有良好的时效性，同时高赞回答的数据，均有较高的正确率，因此对比之下，Quora论坛更适合作为数据源。</w:t>
      </w:r>
    </w:p>
    <w:p>
      <w:pPr>
        <w:ind w:firstLine="420" w:firstLineChars="0"/>
        <w:rPr>
          <w:rFonts w:hint="eastAsia"/>
          <w:lang w:val="en-US" w:eastAsia="zh-CN"/>
        </w:rPr>
      </w:pPr>
      <w:r>
        <w:rPr>
          <w:rFonts w:hint="eastAsia"/>
          <w:lang w:val="en-US" w:eastAsia="zh-CN"/>
        </w:rPr>
        <w:t>确定数据源之后，就应当考虑如何确定问答数据的范围和类别。在上文的语料库制作中，有提到维基百科上有对化学领域的二级分类，其中有4个大类，即有机化学、无机化学、物理化学、分析化学。至于其他领域，如：电化学、环境化学等，均为上述4个类别的衍生类。由于仅仅分为4个类别便开始收集数据的话，难免会造成一定的数据偏好，进而导致数据的多样性与覆盖范围下降，因此本文根据化学研究领域的子任务（源自维基百科），在4个主类下面各分出了25个子类别，如此一来，就可以确定数据选取的目标和范围了。</w:t>
      </w:r>
    </w:p>
    <w:p>
      <w:pPr>
        <w:ind w:firstLine="420" w:firstLineChars="0"/>
        <w:rPr>
          <w:rFonts w:hint="default"/>
          <w:lang w:val="en-US" w:eastAsia="zh-CN"/>
        </w:rPr>
      </w:pPr>
      <w:r>
        <w:rPr>
          <w:rFonts w:hint="eastAsia"/>
          <w:lang w:val="en-US" w:eastAsia="zh-CN"/>
        </w:rPr>
        <w:t>由于存在化学领域专业知识的限制，无法直接分辨出问题所在领域，因此对于问题的搜集，本文采用GPT根据上文定好的数据范围进行辅助问题生成，问题规模为每个子类下各25个问题，一共2500个问题。在确定问题后，便是答案搜集阶段，由于Quora论坛的反爬虫机制，导致无法直接使用爬虫自动获取答案，因此只能采取人工收集的方式进行数据收集。收集规则为，选取每个问题下的高赞且具有一定文本长度的回答（因为高赞回答一般即为正确有用的回答，对于数据正确性的研究，将于第三章进行探讨）。收集完的数据如表4、表5所示。</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主类</w:t>
            </w:r>
          </w:p>
        </w:tc>
        <w:tc>
          <w:tcPr>
            <w:tcW w:w="4261" w:type="dxa"/>
          </w:tcPr>
          <w:p>
            <w:pPr>
              <w:jc w:val="center"/>
              <w:rPr>
                <w:rFonts w:hint="default"/>
                <w:vertAlign w:val="baseline"/>
                <w:lang w:val="en-US" w:eastAsia="zh-CN"/>
              </w:rPr>
            </w:pPr>
            <w:r>
              <w:rPr>
                <w:rFonts w:hint="eastAsia"/>
                <w:vertAlign w:val="baseline"/>
                <w:lang w:val="en-US" w:eastAsia="zh-CN"/>
              </w:rPr>
              <w:t>子类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有机化学</w:t>
            </w:r>
          </w:p>
        </w:tc>
        <w:tc>
          <w:tcPr>
            <w:tcW w:w="4261" w:type="dxa"/>
          </w:tcPr>
          <w:p>
            <w:pPr>
              <w:jc w:val="center"/>
              <w:rPr>
                <w:rFonts w:hint="default"/>
                <w:vertAlign w:val="baseline"/>
                <w:lang w:val="en-US" w:eastAsia="zh-CN"/>
              </w:rPr>
            </w:pPr>
            <w:r>
              <w:rPr>
                <w:rFonts w:hint="eastAsia"/>
                <w:vertAlign w:val="baseline"/>
                <w:lang w:val="en-US" w:eastAsia="zh-CN"/>
              </w:rPr>
              <w:t>合成有机化学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p>
        </w:tc>
        <w:tc>
          <w:tcPr>
            <w:tcW w:w="4261" w:type="dxa"/>
          </w:tcPr>
          <w:p>
            <w:pPr>
              <w:jc w:val="center"/>
              <w:rPr>
                <w:rFonts w:hint="default"/>
                <w:vertAlign w:val="baseline"/>
                <w:lang w:val="en-US" w:eastAsia="zh-CN"/>
              </w:rPr>
            </w:pPr>
            <w:r>
              <w:rPr>
                <w:rFonts w:hint="eastAsia"/>
                <w:vertAlign w:val="baseline"/>
                <w:lang w:val="en-US" w:eastAsia="zh-CN"/>
              </w:rPr>
              <w:t>高分子化学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p>
        </w:tc>
        <w:tc>
          <w:tcPr>
            <w:tcW w:w="4261" w:type="dxa"/>
          </w:tcPr>
          <w:p>
            <w:pPr>
              <w:jc w:val="cente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无机化学</w:t>
            </w:r>
          </w:p>
        </w:tc>
        <w:tc>
          <w:tcPr>
            <w:tcW w:w="4261" w:type="dxa"/>
          </w:tcPr>
          <w:p>
            <w:pPr>
              <w:jc w:val="center"/>
              <w:rPr>
                <w:rFonts w:hint="default"/>
                <w:vertAlign w:val="baseline"/>
                <w:lang w:val="en-US" w:eastAsia="zh-CN"/>
              </w:rPr>
            </w:pPr>
            <w:r>
              <w:rPr>
                <w:rFonts w:hint="eastAsia"/>
                <w:vertAlign w:val="baseline"/>
                <w:lang w:val="en-US" w:eastAsia="zh-CN"/>
              </w:rPr>
              <w:t>晶体化学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p>
        </w:tc>
        <w:tc>
          <w:tcPr>
            <w:tcW w:w="4261" w:type="dxa"/>
          </w:tcPr>
          <w:p>
            <w:pPr>
              <w:jc w:val="center"/>
              <w:rPr>
                <w:rFonts w:hint="default"/>
                <w:vertAlign w:val="baseline"/>
                <w:lang w:val="en-US" w:eastAsia="zh-CN"/>
              </w:rPr>
            </w:pPr>
            <w:r>
              <w:rPr>
                <w:rFonts w:hint="eastAsia"/>
                <w:vertAlign w:val="baseline"/>
                <w:lang w:val="en-US" w:eastAsia="zh-CN"/>
              </w:rPr>
              <w:t>无机合成化学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p>
        </w:tc>
        <w:tc>
          <w:tcPr>
            <w:tcW w:w="4261" w:type="dxa"/>
          </w:tcPr>
          <w:p>
            <w:pPr>
              <w:jc w:val="cente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w:t>
            </w:r>
          </w:p>
        </w:tc>
        <w:tc>
          <w:tcPr>
            <w:tcW w:w="4261" w:type="dxa"/>
          </w:tcPr>
          <w:p>
            <w:pPr>
              <w:jc w:val="center"/>
              <w:rPr>
                <w:rFonts w:hint="default"/>
                <w:vertAlign w:val="baseline"/>
                <w:lang w:val="en-US" w:eastAsia="zh-CN"/>
              </w:rPr>
            </w:pPr>
            <w:r>
              <w:rPr>
                <w:rFonts w:hint="eastAsia"/>
                <w:vertAlign w:val="baseline"/>
                <w:lang w:val="en-US" w:eastAsia="zh-CN"/>
              </w:rPr>
              <w:t>……</w:t>
            </w:r>
          </w:p>
        </w:tc>
      </w:tr>
    </w:tbl>
    <w:p>
      <w:pPr>
        <w:pStyle w:val="11"/>
        <w:jc w:val="center"/>
        <w:rPr>
          <w:rFonts w:hint="eastAsia" w:eastAsia="宋体"/>
          <w:lang w:eastAsia="zh-CN"/>
        </w:rPr>
      </w:pPr>
      <w:r>
        <w:t xml:space="preserve">表 </w:t>
      </w:r>
      <w:r>
        <w:fldChar w:fldCharType="begin"/>
      </w:r>
      <w:r>
        <w:instrText xml:space="preserve"> SEQ 表 \* ARABIC </w:instrText>
      </w:r>
      <w:r>
        <w:fldChar w:fldCharType="separate"/>
      </w:r>
      <w:r>
        <w:t>4</w:t>
      </w:r>
      <w:r>
        <w:fldChar w:fldCharType="end"/>
      </w:r>
      <w:r>
        <w:rPr>
          <w:rFonts w:hint="eastAsia"/>
          <w:lang w:eastAsia="zh-CN"/>
        </w:rPr>
        <w:t xml:space="preserve"> QA数据分类结构</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exact"/>
        </w:trPr>
        <w:tc>
          <w:tcPr>
            <w:tcW w:w="4261" w:type="dxa"/>
            <w:vAlign w:val="top"/>
          </w:tcPr>
          <w:p>
            <w:pPr>
              <w:jc w:val="center"/>
              <w:rPr>
                <w:rFonts w:hint="default"/>
                <w:vertAlign w:val="baseline"/>
                <w:lang w:val="en-US" w:eastAsia="zh-CN"/>
              </w:rPr>
            </w:pPr>
            <w:r>
              <w:rPr>
                <w:rFonts w:hint="eastAsia"/>
                <w:vertAlign w:val="baseline"/>
                <w:lang w:val="en-US" w:eastAsia="zh-CN"/>
              </w:rPr>
              <w:t>问题</w:t>
            </w:r>
          </w:p>
        </w:tc>
        <w:tc>
          <w:tcPr>
            <w:tcW w:w="4261" w:type="dxa"/>
            <w:vAlign w:val="top"/>
          </w:tcPr>
          <w:p>
            <w:pPr>
              <w:jc w:val="center"/>
              <w:rPr>
                <w:rFonts w:hint="default"/>
                <w:vertAlign w:val="baseline"/>
                <w:lang w:val="en-US" w:eastAsia="zh-CN"/>
              </w:rPr>
            </w:pPr>
            <w:r>
              <w:rPr>
                <w:rFonts w:hint="eastAsia"/>
                <w:vertAlign w:val="baseline"/>
                <w:lang w:val="en-US" w:eastAsia="zh-CN"/>
              </w:rPr>
              <w:t>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3" w:hRule="exact"/>
        </w:trPr>
        <w:tc>
          <w:tcPr>
            <w:tcW w:w="4261" w:type="dxa"/>
            <w:vAlign w:val="top"/>
          </w:tcPr>
          <w:p>
            <w:pPr>
              <w:jc w:val="center"/>
              <w:rPr>
                <w:rFonts w:hint="default"/>
                <w:vertAlign w:val="baseline"/>
                <w:lang w:val="en-US" w:eastAsia="zh-CN"/>
              </w:rPr>
            </w:pPr>
            <w:r>
              <w:rPr>
                <w:rFonts w:hint="eastAsia"/>
                <w:vertAlign w:val="baseline"/>
                <w:lang w:val="en-US" w:eastAsia="zh-CN"/>
              </w:rPr>
              <w:t>如何设计一个高效的多步合成路线来合成复杂的天然产物？</w:t>
            </w:r>
          </w:p>
        </w:tc>
        <w:tc>
          <w:tcPr>
            <w:tcW w:w="4261" w:type="dxa"/>
            <w:vAlign w:val="top"/>
          </w:tcPr>
          <w:p>
            <w:pPr>
              <w:jc w:val="center"/>
              <w:rPr>
                <w:rFonts w:hint="default"/>
                <w:vertAlign w:val="baseline"/>
                <w:lang w:val="en-US" w:eastAsia="zh-CN"/>
              </w:rPr>
            </w:pPr>
            <w:r>
              <w:rPr>
                <w:rFonts w:hint="eastAsia"/>
                <w:vertAlign w:val="baseline"/>
                <w:lang w:val="en-US" w:eastAsia="zh-CN"/>
              </w:rPr>
              <w:t>分析目标分子结构，识别关键构建块和合成前体。确定合成……择高效反应类型和条件。利用文献调研和计算化学预测反应路径。采用串联反应或多组分反应减少步骤，提高收率。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3" w:hRule="exact"/>
        </w:trPr>
        <w:tc>
          <w:tcPr>
            <w:tcW w:w="4261" w:type="dxa"/>
            <w:vAlign w:val="top"/>
          </w:tcPr>
          <w:p>
            <w:pPr>
              <w:jc w:val="center"/>
              <w:rPr>
                <w:rFonts w:hint="default"/>
                <w:vertAlign w:val="baseline"/>
                <w:lang w:val="en-US" w:eastAsia="zh-CN"/>
              </w:rPr>
            </w:pPr>
            <w:r>
              <w:rPr>
                <w:rFonts w:hint="eastAsia"/>
                <w:vertAlign w:val="baseline"/>
                <w:lang w:val="en-US" w:eastAsia="zh-CN"/>
              </w:rPr>
              <w:t>对于具有多个手性中心的分子，如何实现立体选择性合成？</w:t>
            </w:r>
          </w:p>
        </w:tc>
        <w:tc>
          <w:tcPr>
            <w:tcW w:w="4261" w:type="dxa"/>
            <w:vAlign w:val="top"/>
          </w:tcPr>
          <w:p>
            <w:pPr>
              <w:jc w:val="center"/>
              <w:rPr>
                <w:rFonts w:hint="default"/>
                <w:vertAlign w:val="baseline"/>
                <w:lang w:val="en-US" w:eastAsia="zh-CN"/>
              </w:rPr>
            </w:pPr>
            <w:r>
              <w:rPr>
                <w:rFonts w:hint="eastAsia"/>
                <w:vertAlign w:val="baseline"/>
                <w:lang w:val="en-US" w:eastAsia="zh-CN"/>
              </w:rPr>
              <w:t>使用手性起始材料或辅助剂，选择立体选择性催化剂，采用……称合成策略。优化反应条件以控制立体化学，利用手性保护基团和解除策略。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exact"/>
        </w:trPr>
        <w:tc>
          <w:tcPr>
            <w:tcW w:w="4261" w:type="dxa"/>
            <w:vAlign w:val="top"/>
          </w:tcPr>
          <w:p>
            <w:pPr>
              <w:jc w:val="center"/>
              <w:rPr>
                <w:rFonts w:hint="default"/>
                <w:vertAlign w:val="baseline"/>
                <w:lang w:val="en-US" w:eastAsia="zh-CN"/>
              </w:rPr>
            </w:pPr>
            <w:r>
              <w:rPr>
                <w:rFonts w:hint="eastAsia"/>
                <w:vertAlign w:val="baseline"/>
                <w:lang w:val="en-US" w:eastAsia="zh-CN"/>
              </w:rPr>
              <w:t>……</w:t>
            </w:r>
          </w:p>
        </w:tc>
        <w:tc>
          <w:tcPr>
            <w:tcW w:w="4261" w:type="dxa"/>
            <w:vAlign w:val="top"/>
          </w:tcPr>
          <w:p>
            <w:pPr>
              <w:jc w:val="center"/>
              <w:rPr>
                <w:rFonts w:hint="default"/>
                <w:vertAlign w:val="baseline"/>
                <w:lang w:val="en-US" w:eastAsia="zh-CN"/>
              </w:rPr>
            </w:pPr>
            <w:r>
              <w:rPr>
                <w:rFonts w:hint="eastAsia"/>
                <w:vertAlign w:val="baseline"/>
                <w:lang w:val="en-US" w:eastAsia="zh-CN"/>
              </w:rPr>
              <w:t>……</w:t>
            </w:r>
          </w:p>
        </w:tc>
      </w:tr>
    </w:tbl>
    <w:p>
      <w:pPr>
        <w:pStyle w:val="11"/>
        <w:jc w:val="center"/>
        <w:rPr>
          <w:rFonts w:hint="default"/>
          <w:lang w:val="en-US" w:eastAsia="zh-CN"/>
        </w:rPr>
      </w:pPr>
      <w:r>
        <w:t xml:space="preserve">表 </w:t>
      </w:r>
      <w:r>
        <w:fldChar w:fldCharType="begin"/>
      </w:r>
      <w:r>
        <w:instrText xml:space="preserve"> SEQ 表 \* ARABIC </w:instrText>
      </w:r>
      <w:r>
        <w:fldChar w:fldCharType="separate"/>
      </w:r>
      <w:r>
        <w:t>5</w:t>
      </w:r>
      <w:r>
        <w:fldChar w:fldCharType="end"/>
      </w:r>
      <w:r>
        <w:rPr>
          <w:rFonts w:hint="eastAsia"/>
          <w:lang w:eastAsia="zh-CN"/>
        </w:rPr>
        <w:t xml:space="preserve"> 问题数据示例</w:t>
      </w:r>
    </w:p>
    <w:p>
      <w:pPr>
        <w:pStyle w:val="4"/>
        <w:bidi w:val="0"/>
        <w:spacing w:before="57" w:beforeLines="0" w:beforeAutospacing="0" w:after="57" w:afterLines="0" w:afterAutospacing="0"/>
        <w:outlineLvl w:val="1"/>
        <w:rPr>
          <w:rFonts w:hint="default"/>
          <w:sz w:val="30"/>
          <w:szCs w:val="30"/>
          <w:lang w:val="en-US" w:eastAsia="zh-CN"/>
        </w:rPr>
      </w:pPr>
      <w:bookmarkStart w:id="18" w:name="_Toc24196"/>
      <w:r>
        <w:rPr>
          <w:rFonts w:hint="eastAsia"/>
          <w:sz w:val="30"/>
          <w:szCs w:val="30"/>
          <w:lang w:val="en-US" w:eastAsia="zh-CN"/>
        </w:rPr>
        <w:t>QA数据处理</w:t>
      </w:r>
      <w:bookmarkEnd w:id="18"/>
    </w:p>
    <w:p>
      <w:pPr>
        <w:ind w:firstLine="420" w:firstLineChars="0"/>
        <w:rPr>
          <w:rFonts w:hint="eastAsia"/>
          <w:lang w:val="en-US" w:eastAsia="zh-CN"/>
        </w:rPr>
      </w:pPr>
      <w:r>
        <w:rPr>
          <w:rFonts w:hint="eastAsia"/>
          <w:lang w:val="en-US" w:eastAsia="zh-CN"/>
        </w:rPr>
        <w:t>QA数据的清洗处理，于上文中语料库的处理方式大同小异，都是需要更具脏数据的特点来制定清洗规则。由于问答数据均为人工收集，因此不存在出现空数据、无关数据等脏数据。但可能会出现冗余数据的情况，以及答案文本中出现乱码字符等，因此对QA数据的清理主要在于乱码字符的清理和冗余数据的清理。相关清理代码如图4所示。</w:t>
      </w:r>
    </w:p>
    <w:p>
      <w:pPr>
        <w:ind w:firstLine="420" w:firstLineChars="0"/>
        <w:jc w:val="center"/>
        <w:rPr>
          <w:rFonts w:hint="default"/>
          <w:lang w:val="en-US" w:eastAsia="zh-CN"/>
        </w:rPr>
      </w:pPr>
      <w:r>
        <w:rPr>
          <w:rFonts w:hint="default"/>
          <w:lang w:val="en-US" w:eastAsia="zh-CN"/>
        </w:rPr>
        <w:drawing>
          <wp:inline distT="0" distB="0" distL="114300" distR="114300">
            <wp:extent cx="5271135" cy="1737995"/>
            <wp:effectExtent l="0" t="0" r="1905" b="14605"/>
            <wp:docPr id="1" name="图片 1" descr="QA数据处理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A数据处理代码"/>
                    <pic:cNvPicPr>
                      <a:picLocks noChangeAspect="1"/>
                    </pic:cNvPicPr>
                  </pic:nvPicPr>
                  <pic:blipFill>
                    <a:blip r:embed="rId8"/>
                    <a:stretch>
                      <a:fillRect/>
                    </a:stretch>
                  </pic:blipFill>
                  <pic:spPr>
                    <a:xfrm>
                      <a:off x="0" y="0"/>
                      <a:ext cx="5271135" cy="1737995"/>
                    </a:xfrm>
                    <a:prstGeom prst="rect">
                      <a:avLst/>
                    </a:prstGeom>
                  </pic:spPr>
                </pic:pic>
              </a:graphicData>
            </a:graphic>
          </wp:inline>
        </w:drawing>
      </w:r>
    </w:p>
    <w:p>
      <w:pPr>
        <w:pStyle w:val="11"/>
        <w:ind w:firstLine="420" w:firstLineChars="0"/>
        <w:jc w:val="center"/>
        <w:rPr>
          <w:rFonts w:hint="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QA数据清洗部分代码</w:t>
      </w:r>
    </w:p>
    <w:p>
      <w:pPr>
        <w:ind w:firstLine="420" w:firstLineChars="0"/>
        <w:rPr>
          <w:rFonts w:hint="eastAsia"/>
          <w:lang w:val="en-US" w:eastAsia="zh-CN"/>
        </w:rPr>
      </w:pPr>
      <w:r>
        <w:rPr>
          <w:rFonts w:hint="eastAsia"/>
          <w:lang w:val="en-US" w:eastAsia="zh-CN"/>
        </w:rPr>
        <w:t>数据清洗完后的保存方式，参考上文语料库的保存方式，采用JSON格式进行保存，相关字段为：id（序号）、firsttitle（一级标题）、secondtitle（二级标题）、question（问题）、answer（答案）。保存后的结果如图5所示。</w:t>
      </w:r>
    </w:p>
    <w:p>
      <w:pPr>
        <w:ind w:firstLine="420" w:firstLineChars="0"/>
        <w:jc w:val="center"/>
        <w:rPr>
          <w:rFonts w:hint="default"/>
          <w:lang w:val="en-US" w:eastAsia="zh-CN"/>
        </w:rPr>
      </w:pPr>
      <w:r>
        <w:rPr>
          <w:rFonts w:hint="default"/>
          <w:lang w:val="en-US" w:eastAsia="zh-CN"/>
        </w:rPr>
        <w:drawing>
          <wp:inline distT="0" distB="0" distL="114300" distR="114300">
            <wp:extent cx="5273040" cy="1958975"/>
            <wp:effectExtent l="0" t="0" r="0" b="6985"/>
            <wp:docPr id="4" name="图片 4" descr="QA数据JSON保存结果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A数据JSON保存结果示例"/>
                    <pic:cNvPicPr>
                      <a:picLocks noChangeAspect="1"/>
                    </pic:cNvPicPr>
                  </pic:nvPicPr>
                  <pic:blipFill>
                    <a:blip r:embed="rId9"/>
                    <a:stretch>
                      <a:fillRect/>
                    </a:stretch>
                  </pic:blipFill>
                  <pic:spPr>
                    <a:xfrm>
                      <a:off x="0" y="0"/>
                      <a:ext cx="5273040" cy="1958975"/>
                    </a:xfrm>
                    <a:prstGeom prst="rect">
                      <a:avLst/>
                    </a:prstGeom>
                  </pic:spPr>
                </pic:pic>
              </a:graphicData>
            </a:graphic>
          </wp:inline>
        </w:drawing>
      </w:r>
    </w:p>
    <w:p>
      <w:pPr>
        <w:pStyle w:val="11"/>
        <w:ind w:firstLine="420" w:firstLineChars="0"/>
        <w:jc w:val="center"/>
        <w:rPr>
          <w:rFonts w:hint="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QA数据保存格式示例</w:t>
      </w:r>
    </w:p>
    <w:p>
      <w:pPr>
        <w:pStyle w:val="2"/>
        <w:bidi w:val="0"/>
        <w:rPr>
          <w:rFonts w:hint="eastAsia"/>
          <w:lang w:val="en-US" w:eastAsia="zh-CN"/>
        </w:rPr>
      </w:pPr>
      <w:bookmarkStart w:id="19" w:name="_Toc2531"/>
      <w:r>
        <w:rPr>
          <w:rFonts w:hint="eastAsia"/>
          <w:lang w:val="en-US" w:eastAsia="zh-CN"/>
        </w:rPr>
        <w:t>数据集评估</w:t>
      </w:r>
      <w:bookmarkEnd w:id="19"/>
    </w:p>
    <w:p>
      <w:pPr>
        <w:ind w:firstLine="420" w:firstLineChars="0"/>
        <w:rPr>
          <w:rFonts w:hint="default"/>
          <w:lang w:val="en-US" w:eastAsia="zh-CN"/>
        </w:rPr>
      </w:pPr>
      <w:r>
        <w:rPr>
          <w:rFonts w:hint="eastAsia"/>
          <w:lang w:val="en-US" w:eastAsia="zh-CN"/>
        </w:rPr>
        <w:t>当数据收集清洗完毕后，应当对数据集的质量进行评估，来判断该数据是否是合格的高质量数据。由于模型训练得到的预测结果受多方面要素影响，例如模型本身的质量高低、训练方案设计的合理与否等。因此，想要通过将数据处理完后给模型进行训练，再根据模型训练的预测结果来对数据集的质量进行判断是不切实际的。因此，需要再将数据投入使用前，对所收集处理后的数据进行一个质量评估，来判断该数据是否有一定的训练价值。</w:t>
      </w:r>
    </w:p>
    <w:p>
      <w:pPr>
        <w:pStyle w:val="3"/>
        <w:bidi w:val="0"/>
        <w:rPr>
          <w:rFonts w:hint="eastAsia"/>
          <w:lang w:val="en-US" w:eastAsia="zh-CN"/>
        </w:rPr>
      </w:pPr>
      <w:bookmarkStart w:id="20" w:name="_Toc4592"/>
      <w:r>
        <w:rPr>
          <w:rFonts w:hint="eastAsia"/>
          <w:lang w:val="en-US" w:eastAsia="zh-CN"/>
        </w:rPr>
        <w:t>数据集质量评估方法综述</w:t>
      </w:r>
      <w:bookmarkEnd w:id="20"/>
    </w:p>
    <w:p>
      <w:pPr>
        <w:ind w:firstLine="420" w:firstLineChars="0"/>
        <w:rPr>
          <w:rFonts w:hint="eastAsia"/>
          <w:lang w:val="en-US" w:eastAsia="zh-CN"/>
        </w:rPr>
      </w:pPr>
      <w:r>
        <w:rPr>
          <w:rFonts w:hint="eastAsia"/>
          <w:lang w:val="en-US" w:eastAsia="zh-CN"/>
        </w:rPr>
        <w:t>对一个数据集质量的评估，需要从数据质量、数据多样性、数据代表性、数据可解释性和透明度、数据合法性和伦理性、数据的可接入性等多方面进行评估。下面本文将一一介绍如何从这些角度进行数据集的质量评估。</w:t>
      </w:r>
    </w:p>
    <w:p>
      <w:pPr>
        <w:ind w:firstLine="420" w:firstLineChars="0"/>
        <w:rPr>
          <w:rFonts w:hint="eastAsia"/>
          <w:lang w:val="en-US" w:eastAsia="zh-CN"/>
        </w:rPr>
      </w:pPr>
      <w:r>
        <w:rPr>
          <w:rFonts w:hint="eastAsia"/>
          <w:lang w:val="en-US" w:eastAsia="zh-CN"/>
        </w:rPr>
        <w:t>对数据质量的评估，包含对数据体量、数据完整性、数据一致性、数据准确性和数据新鲜性的评估。数据量的大小，包含样本数据量和特征数据量，通常优质的大语言模型数据集都有着较大的体量，能为模型提供更多丰富的信息，但冗余的数据只会加大模型的处理时间和计算成本，因此在提高数据体量的同时，应当注意冗余数据的清洗。数据完整性即检查数据是否存在缺失值。数据一致性要求对数据格式、类型的处理要保持一致，例如日期格式、数字格式等。数据准确性即检查数据的准确度，是否存在错误或异常值。数据的新鲜性，则是要求数据要求一定的时效性，避免因过时数据而导致对模型的误导。</w:t>
      </w:r>
    </w:p>
    <w:p>
      <w:pPr>
        <w:ind w:firstLine="420" w:firstLineChars="0"/>
        <w:rPr>
          <w:rFonts w:hint="default"/>
          <w:lang w:val="en-US" w:eastAsia="zh-CN"/>
        </w:rPr>
      </w:pPr>
      <w:r>
        <w:rPr>
          <w:rFonts w:hint="eastAsia"/>
          <w:lang w:val="en-US" w:eastAsia="zh-CN"/>
        </w:rPr>
        <w:t>对数据多样性的评估，则是为了消除数据的偏见性，导致模型泛化能力低下。对数据的代表性评估，则是为了保证数据能够代表真实世界的分布，包括不同的群体、条件和情境，让模型能透过尽可能少的数据，学到尽可能多的知识。数据的可解释性和透明度的评估，要求对数据集的来源、收集方法和预处理的步骤做详细记录，如此一来对于理解数据的限制和潜在的偏见有很大作用。数据的合法性和伦理性则是对数据的收集和使用做是否符合法律法规、是否尊重个人隐私等相关方面的评估。数据的可接入性评估，则是要对数据的存储格式、大小和访问权限方面做出评估，以此来判断该数据集使用容易获取和使用。</w:t>
      </w:r>
    </w:p>
    <w:p>
      <w:pPr>
        <w:pStyle w:val="3"/>
        <w:bidi w:val="0"/>
        <w:rPr>
          <w:rFonts w:hint="eastAsia"/>
          <w:lang w:val="en-US" w:eastAsia="zh-CN"/>
        </w:rPr>
      </w:pPr>
      <w:bookmarkStart w:id="21" w:name="_Toc16890"/>
      <w:r>
        <w:rPr>
          <w:rFonts w:hint="eastAsia"/>
          <w:lang w:val="en-US" w:eastAsia="zh-CN"/>
        </w:rPr>
        <w:t>数据集评估设计与结果</w:t>
      </w:r>
      <w:bookmarkEnd w:id="21"/>
    </w:p>
    <w:p>
      <w:pPr>
        <w:ind w:firstLine="420" w:firstLineChars="0"/>
        <w:rPr>
          <w:rFonts w:hint="eastAsia"/>
          <w:lang w:val="en-US" w:eastAsia="zh-CN"/>
        </w:rPr>
      </w:pPr>
      <w:r>
        <w:rPr>
          <w:rFonts w:hint="eastAsia"/>
          <w:lang w:val="en-US" w:eastAsia="zh-CN"/>
        </w:rPr>
        <w:t>有了前文介绍的数据集评估指标，再根据第二章收集的化学语料库和QA数据集，便可以制定如下的数据集评估方案。</w:t>
      </w:r>
    </w:p>
    <w:p>
      <w:pPr>
        <w:pStyle w:val="4"/>
        <w:bidi w:val="0"/>
        <w:spacing w:before="57" w:beforeLines="0" w:beforeAutospacing="0" w:after="57" w:afterLines="0" w:afterAutospacing="0"/>
        <w:rPr>
          <w:rFonts w:hint="default"/>
          <w:sz w:val="30"/>
          <w:szCs w:val="30"/>
          <w:lang w:val="en-US" w:eastAsia="zh-CN"/>
        </w:rPr>
      </w:pPr>
      <w:bookmarkStart w:id="22" w:name="_Toc25911"/>
      <w:r>
        <w:rPr>
          <w:rFonts w:hint="eastAsia"/>
          <w:sz w:val="30"/>
          <w:szCs w:val="30"/>
          <w:lang w:val="en-US" w:eastAsia="zh-CN"/>
        </w:rPr>
        <w:t>数据集评估方案</w:t>
      </w:r>
      <w:bookmarkEnd w:id="22"/>
    </w:p>
    <w:p>
      <w:pPr>
        <w:ind w:firstLine="420" w:firstLineChars="0"/>
        <w:rPr>
          <w:rFonts w:hint="eastAsia"/>
          <w:lang w:val="en-US" w:eastAsia="zh-CN"/>
        </w:rPr>
      </w:pPr>
      <w:r>
        <w:rPr>
          <w:rFonts w:hint="eastAsia"/>
          <w:sz w:val="30"/>
          <w:szCs w:val="30"/>
          <w:lang w:val="en-US" w:eastAsia="zh-CN"/>
        </w:rPr>
        <w:t>对于语料库的评估，将从数据体量、数据完整性、数据一致性、数据准确性、数据多样性等方面进行评估。</w:t>
      </w:r>
      <w:r>
        <w:rPr>
          <w:rFonts w:hint="eastAsia"/>
          <w:lang w:val="en-US" w:eastAsia="zh-CN"/>
        </w:rPr>
        <w:t>对于QA数据集的评估，因为Quora论坛中问答数据涉及一定的时效性和隐私合法性，所以，除了对它做上述语料库需要做的评估，还需要对其时效性和合法性进行评估。</w:t>
      </w:r>
    </w:p>
    <w:p>
      <w:pPr>
        <w:ind w:firstLine="420" w:firstLineChars="0"/>
        <w:rPr>
          <w:rFonts w:hint="eastAsia"/>
          <w:lang w:val="en-US" w:eastAsia="zh-CN"/>
        </w:rPr>
      </w:pPr>
      <w:r>
        <w:rPr>
          <w:rFonts w:hint="eastAsia"/>
          <w:lang w:val="en-US" w:eastAsia="zh-CN"/>
        </w:rPr>
        <w:t>鉴于语料库有近9000条数据，QA数据集有2500对问答数据，而上述评估方式中，数据的一致性准确性指标都需要人工进行评估，因此为了提高评估效率的同时，还保证评估结果的可靠性，本文采用随机抽样评估的方式。随机抽样评估能在提高评估效率的同时，尽可能的提高评估结果的客观性、可靠性。随机抽样方式，将对语料库随机抽取100条数据，对QA数据随机抽取50个问题。对这些数据的准确性评估，将采用通过对比其他权威知识网站中的数据来判断合规与否。</w:t>
      </w:r>
    </w:p>
    <w:p>
      <w:pPr>
        <w:pStyle w:val="4"/>
        <w:bidi w:val="0"/>
        <w:spacing w:before="57" w:beforeLines="0" w:beforeAutospacing="0" w:after="57" w:afterLines="0" w:afterAutospacing="0"/>
        <w:rPr>
          <w:rFonts w:hint="default"/>
          <w:sz w:val="30"/>
          <w:szCs w:val="30"/>
          <w:lang w:val="en-US" w:eastAsia="zh-CN"/>
        </w:rPr>
      </w:pPr>
      <w:bookmarkStart w:id="23" w:name="_Toc32165"/>
      <w:r>
        <w:rPr>
          <w:rFonts w:hint="eastAsia"/>
          <w:sz w:val="30"/>
          <w:szCs w:val="30"/>
          <w:lang w:val="en-US" w:eastAsia="zh-CN"/>
        </w:rPr>
        <w:t>数据集评估结果</w:t>
      </w:r>
      <w:bookmarkEnd w:id="23"/>
    </w:p>
    <w:p>
      <w:pPr>
        <w:ind w:firstLine="420" w:firstLineChars="0"/>
        <w:rPr>
          <w:rFonts w:hint="default"/>
          <w:lang w:val="en-US" w:eastAsia="zh-CN"/>
        </w:rPr>
      </w:pPr>
      <w:r>
        <w:rPr>
          <w:rFonts w:hint="eastAsia"/>
          <w:lang w:val="en-US" w:eastAsia="zh-CN"/>
        </w:rPr>
        <w:t>语料库和QA数据集的数据量加起来有共11424条数据，且经过严格制定的清洗规则对数据进行清洗后，数据的一致性和完整性也有一定的保障，不存在格式不一致和脏数据清理不完全的情况。同语料库和QA数据集的知识构成不单单只有基础化学，对于语料库来说，两次数据迭代获取，让其有了广泛的化学知识积累；对于QA数据集来说，由有机化学、无机化学、物理化学和分析化学这四个主类为起点，并在这四个主类下依然分了25个子领域，因此QA数据有着一定的全面性。而对于数据的时效性，维基百科和Quora论坛中的数据均是持续更新的，因此在时效性方面绝对有保障。对于数据的准确性，按照前文制定的检测方法，可以得到如图6的检测结果（答案正确性检测不仅局限于文本比较，而是将语义纳入检测范围）。其中错误数据的案例如图7所示。</w:t>
      </w:r>
    </w:p>
    <w:p>
      <w:pPr>
        <w:jc w:val="center"/>
      </w:pPr>
      <w:r>
        <w:drawing>
          <wp:inline distT="0" distB="0" distL="114300" distR="114300">
            <wp:extent cx="4826000" cy="2743200"/>
            <wp:effectExtent l="4445" t="4445" r="15875" b="10795"/>
            <wp:docPr id="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数据检测结果</w:t>
      </w:r>
    </w:p>
    <w:p>
      <w:pPr>
        <w:jc w:val="center"/>
        <w:rPr>
          <w:rFonts w:hint="eastAsia"/>
          <w:lang w:val="en-US" w:eastAsia="zh-CN"/>
        </w:rPr>
      </w:pPr>
      <w:r>
        <w:rPr>
          <w:rFonts w:hint="eastAsia"/>
          <w:lang w:val="en-US" w:eastAsia="zh-CN"/>
        </w:rPr>
        <w:drawing>
          <wp:inline distT="0" distB="0" distL="114300" distR="114300">
            <wp:extent cx="5273675" cy="1994535"/>
            <wp:effectExtent l="0" t="0" r="14605" b="1905"/>
            <wp:docPr id="11" name="图片 11" descr="错误数据（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错误数据（QA）"/>
                    <pic:cNvPicPr>
                      <a:picLocks noChangeAspect="1"/>
                    </pic:cNvPicPr>
                  </pic:nvPicPr>
                  <pic:blipFill>
                    <a:blip r:embed="rId11"/>
                    <a:stretch>
                      <a:fillRect/>
                    </a:stretch>
                  </pic:blipFill>
                  <pic:spPr>
                    <a:xfrm>
                      <a:off x="0" y="0"/>
                      <a:ext cx="5273675" cy="1994535"/>
                    </a:xfrm>
                    <a:prstGeom prst="rect">
                      <a:avLst/>
                    </a:prstGeom>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QA数据集中检测出的错误数据示例</w:t>
      </w:r>
    </w:p>
    <w:p>
      <w:pPr>
        <w:ind w:firstLine="420" w:firstLineChars="0"/>
        <w:rPr>
          <w:rFonts w:hint="default"/>
          <w:lang w:val="en-US" w:eastAsia="zh-CN"/>
        </w:rPr>
      </w:pPr>
      <w:r>
        <w:rPr>
          <w:rFonts w:hint="eastAsia"/>
          <w:lang w:val="en-US" w:eastAsia="zh-CN"/>
        </w:rPr>
        <w:t>综上所述，本文所做的语料库和QA数据集，在数据的完整性、一致性、多样性、准确性和时效性，都有着较高的质量，其中虽然QA数据集中存在着微量错误数据，但出现的错误也并不严重，只是缺失了一点信息。同时，为了保证数据集的质量，保持对数据集维护检查的习惯。</w:t>
      </w:r>
    </w:p>
    <w:p>
      <w:pPr>
        <w:pStyle w:val="2"/>
        <w:bidi w:val="0"/>
        <w:rPr>
          <w:rFonts w:hint="eastAsia"/>
          <w:lang w:val="en-US" w:eastAsia="zh-CN"/>
        </w:rPr>
      </w:pPr>
      <w:bookmarkStart w:id="24" w:name="_Toc6494"/>
      <w:r>
        <w:rPr>
          <w:rFonts w:hint="eastAsia"/>
          <w:lang w:val="en-US" w:eastAsia="zh-CN"/>
        </w:rPr>
        <w:t>预测结果评估</w:t>
      </w:r>
      <w:bookmarkEnd w:id="24"/>
    </w:p>
    <w:p>
      <w:pPr>
        <w:ind w:firstLine="420" w:firstLineChars="0"/>
        <w:rPr>
          <w:rFonts w:hint="default"/>
          <w:lang w:val="en-US" w:eastAsia="zh-CN"/>
        </w:rPr>
      </w:pPr>
      <w:r>
        <w:rPr>
          <w:rFonts w:hint="eastAsia"/>
          <w:lang w:val="en-US" w:eastAsia="zh-CN"/>
        </w:rPr>
        <w:t>模型的预测结果是否正确需要有合理的预测结果评估指标，而合理的评估指标可以将模型的学习结果真实的反馈给模型，有利于模型的进一步学习改进。</w:t>
      </w:r>
    </w:p>
    <w:p>
      <w:pPr>
        <w:pStyle w:val="3"/>
        <w:bidi w:val="0"/>
        <w:rPr>
          <w:rFonts w:hint="eastAsia"/>
          <w:lang w:val="en-US" w:eastAsia="zh-CN"/>
        </w:rPr>
      </w:pPr>
      <w:bookmarkStart w:id="25" w:name="_Toc5336"/>
      <w:r>
        <w:rPr>
          <w:rFonts w:hint="eastAsia"/>
          <w:lang w:val="en-US" w:eastAsia="zh-CN"/>
        </w:rPr>
        <w:t>模型预测结果评估指标综述</w:t>
      </w:r>
      <w:bookmarkEnd w:id="25"/>
    </w:p>
    <w:p>
      <w:pPr>
        <w:ind w:firstLine="420" w:firstLineChars="0"/>
        <w:rPr>
          <w:rFonts w:hint="default"/>
          <w:lang w:val="en-US" w:eastAsia="zh-CN"/>
        </w:rPr>
      </w:pPr>
      <w:r>
        <w:rPr>
          <w:rFonts w:hint="eastAsia"/>
          <w:lang w:val="en-US" w:eastAsia="zh-CN"/>
        </w:rPr>
        <w:t>大语言模型的预测结果评估指标有非常多种，按类别分，有用于分类任务的评估指标、用于生成任务的评估指标和用于语义和语法评估的指标等。接下来将分别对上述三种评估指标进行举例介绍说明。</w:t>
      </w:r>
    </w:p>
    <w:p>
      <w:pPr>
        <w:pStyle w:val="4"/>
        <w:bidi w:val="0"/>
        <w:spacing w:before="57" w:beforeLines="0" w:beforeAutospacing="0" w:after="57" w:afterLines="0" w:afterAutospacing="0"/>
        <w:rPr>
          <w:rFonts w:hint="eastAsia"/>
          <w:sz w:val="30"/>
          <w:szCs w:val="30"/>
          <w:lang w:val="en-US" w:eastAsia="zh-CN"/>
        </w:rPr>
      </w:pPr>
      <w:bookmarkStart w:id="26" w:name="_Toc32107"/>
      <w:r>
        <w:rPr>
          <w:rFonts w:hint="eastAsia"/>
          <w:sz w:val="30"/>
          <w:szCs w:val="30"/>
          <w:lang w:val="en-US" w:eastAsia="zh-CN"/>
        </w:rPr>
        <w:t>精确率、召回率和F1分数</w:t>
      </w:r>
      <w:bookmarkEnd w:id="26"/>
    </w:p>
    <w:p>
      <w:pPr>
        <w:ind w:firstLine="420" w:firstLineChars="0"/>
        <w:rPr>
          <w:rFonts w:hint="eastAsia"/>
          <w:lang w:val="en-US" w:eastAsia="zh-CN"/>
        </w:rPr>
      </w:pPr>
      <w:r>
        <w:rPr>
          <w:rFonts w:hint="eastAsia"/>
          <w:lang w:val="en-US" w:eastAsia="zh-CN"/>
        </w:rPr>
        <w:t>精确率、召回率和F1分数，是用于分类任务模型的常见评估指标，特别是在二分类任务中。它们通过比较模型预测结果与实际标签之间的差异来对模型的准确性和完整性进行评估。</w:t>
      </w:r>
    </w:p>
    <w:p>
      <w:pPr>
        <w:ind w:firstLine="420" w:firstLineChars="0"/>
        <w:rPr>
          <w:rFonts w:hint="eastAsia"/>
          <w:lang w:val="en-US" w:eastAsia="zh-CN"/>
        </w:rPr>
      </w:pPr>
      <w:r>
        <w:rPr>
          <w:rFonts w:hint="eastAsia"/>
          <w:lang w:val="en-US" w:eastAsia="zh-CN"/>
        </w:rPr>
        <w:t>其中精确率是指模型在预测结果为正类的样本中，有多少是正真的正类。也就是说，精确率衡量的是模型在所有预测为正类的样本中，预测的准确性如何。精确率的计算方式如公式1，其中TP（True Positives）表示真正例，FP（False Positives）表示假正例。</w:t>
      </w:r>
    </w:p>
    <w:p>
      <w:pPr>
        <w:pStyle w:val="11"/>
        <w:ind w:firstLine="420" w:firstLineChars="0"/>
        <w:jc w:val="center"/>
        <w:outlineLvl w:val="3"/>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1</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Precision</m:t>
        </m:r>
        <m:r>
          <m:rPr>
            <m:sty m:val="p"/>
          </m:rPr>
          <w:rPr>
            <w:rFonts w:hint="default" w:ascii="Cambria Math" w:hAnsi="Cambria Math" w:cs="Times New Roman"/>
            <w:kern w:val="2"/>
            <w:sz w:val="28"/>
            <w:szCs w:val="28"/>
            <w:lang w:val="en-US" w:eastAsia="zh-CN" w:bidi="ar-SA"/>
          </w:rPr>
          <m:t xml:space="preserve"> = </m:t>
        </m:r>
        <m:f>
          <m:fPr>
            <m:ctrlPr>
              <w:rPr>
                <w:rFonts w:hint="default" w:ascii="Cambria Math" w:hAnsi="Cambria Math" w:cs="Times New Roman"/>
                <w:i w:val="0"/>
                <w:kern w:val="2"/>
                <w:sz w:val="28"/>
                <w:szCs w:val="28"/>
                <w:lang w:val="en-US" w:eastAsia="zh-CN" w:bidi="ar-SA"/>
              </w:rPr>
            </m:ctrlPr>
          </m:fPr>
          <m:num>
            <m:r>
              <m:rPr>
                <m:sty m:val="p"/>
              </m:rPr>
              <w:rPr>
                <w:rFonts w:hint="eastAsia" w:ascii="Cambria Math" w:hAnsi="Cambria Math" w:cs="Times New Roman"/>
                <w:kern w:val="2"/>
                <w:sz w:val="28"/>
                <w:szCs w:val="28"/>
                <w:lang w:val="en-US" w:eastAsia="zh-CN" w:bidi="ar-SA"/>
              </w:rPr>
              <m:t>TP</m:t>
            </m:r>
            <m:ctrlPr>
              <w:rPr>
                <w:rFonts w:hint="default" w:ascii="Cambria Math" w:hAnsi="Cambria Math" w:cs="Times New Roman"/>
                <w:i w:val="0"/>
                <w:kern w:val="2"/>
                <w:sz w:val="28"/>
                <w:szCs w:val="28"/>
                <w:lang w:val="en-US" w:eastAsia="zh-CN" w:bidi="ar-SA"/>
              </w:rPr>
            </m:ctrlPr>
          </m:num>
          <m:den>
            <m:r>
              <m:rPr>
                <m:sty m:val="p"/>
              </m:rPr>
              <w:rPr>
                <w:rFonts w:hint="eastAsia" w:ascii="Cambria Math" w:hAnsi="Cambria Math" w:cs="Times New Roman"/>
                <w:kern w:val="2"/>
                <w:sz w:val="28"/>
                <w:szCs w:val="28"/>
                <w:lang w:val="en-US" w:eastAsia="zh-CN" w:bidi="ar-SA"/>
              </w:rPr>
              <m:t>TP</m:t>
            </m:r>
            <m:r>
              <m:rPr>
                <m:sty m:val="p"/>
              </m:rPr>
              <w:rPr>
                <w:rFonts w:hint="default" w:ascii="Cambria Math" w:hAnsi="Cambria Math" w:cs="Times New Roman"/>
                <w:kern w:val="2"/>
                <w:sz w:val="28"/>
                <w:szCs w:val="28"/>
                <w:lang w:val="en-US" w:eastAsia="zh-CN" w:bidi="ar-SA"/>
              </w:rPr>
              <m:t xml:space="preserve">  + </m:t>
            </m:r>
            <m:r>
              <m:rPr>
                <m:sty m:val="p"/>
              </m:rPr>
              <w:rPr>
                <w:rFonts w:hint="eastAsia" w:ascii="Cambria Math" w:hAnsi="Cambria Math" w:cs="Times New Roman"/>
                <w:kern w:val="2"/>
                <w:sz w:val="28"/>
                <w:szCs w:val="28"/>
                <w:lang w:val="en-US" w:eastAsia="zh-CN" w:bidi="ar-SA"/>
              </w:rPr>
              <m:t>FP</m:t>
            </m:r>
            <m:ctrlPr>
              <w:rPr>
                <w:rFonts w:hint="default" w:ascii="Cambria Math" w:hAnsi="Cambria Math" w:cs="Times New Roman"/>
                <w:i w:val="0"/>
                <w:kern w:val="2"/>
                <w:sz w:val="28"/>
                <w:szCs w:val="28"/>
                <w:lang w:val="en-US" w:eastAsia="zh-CN" w:bidi="ar-SA"/>
              </w:rPr>
            </m:ctrlPr>
          </m:den>
        </m:f>
      </m:oMath>
    </w:p>
    <w:p>
      <w:pPr>
        <w:ind w:firstLine="420" w:firstLineChars="0"/>
        <w:jc w:val="both"/>
        <w:rPr>
          <w:rFonts w:hint="eastAsia" w:hAnsi="Cambria Math" w:cs="Times New Roman"/>
          <w:i w:val="0"/>
          <w:kern w:val="2"/>
          <w:sz w:val="28"/>
          <w:szCs w:val="28"/>
          <w:lang w:val="en-US" w:eastAsia="zh-CN" w:bidi="ar-SA"/>
        </w:rPr>
      </w:pPr>
      <w:r>
        <w:rPr>
          <w:rFonts w:hint="eastAsia" w:hAnsi="Cambria Math" w:cs="Times New Roman"/>
          <w:i w:val="0"/>
          <w:kern w:val="2"/>
          <w:sz w:val="28"/>
          <w:szCs w:val="28"/>
          <w:lang w:val="en-US" w:eastAsia="zh-CN" w:bidi="ar-SA"/>
        </w:rPr>
        <w:t>召回率是指模型所有正确预测为正类的样本占实际正类样本的比例。也就是说，召回率衡量的是模型找出所有正类样本的能力。召回率的计算方式如公式2，其中TP与精确率计算公式中的含义一样，FN（False Negatives）表示假负例，即模型没有正确找出的正类样例。</w:t>
      </w:r>
    </w:p>
    <w:p>
      <w:pPr>
        <w:pStyle w:val="11"/>
        <w:ind w:firstLine="420" w:firstLineChars="0"/>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2</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Recall</m:t>
        </m:r>
        <m:r>
          <m:rPr>
            <m:sty m:val="p"/>
          </m:rPr>
          <w:rPr>
            <w:rFonts w:hint="default" w:ascii="Cambria Math" w:hAnsi="Cambria Math" w:cs="Times New Roman"/>
            <w:kern w:val="2"/>
            <w:sz w:val="28"/>
            <w:szCs w:val="28"/>
            <w:lang w:val="en-US" w:eastAsia="zh-CN" w:bidi="ar-SA"/>
          </w:rPr>
          <m:t xml:space="preserve"> = </m:t>
        </m:r>
        <m:f>
          <m:fPr>
            <m:ctrlPr>
              <w:rPr>
                <w:rFonts w:hint="default" w:ascii="Cambria Math" w:hAnsi="Cambria Math" w:cs="Times New Roman"/>
                <w:i w:val="0"/>
                <w:kern w:val="2"/>
                <w:sz w:val="28"/>
                <w:szCs w:val="28"/>
                <w:lang w:val="en-US" w:eastAsia="zh-CN" w:bidi="ar-SA"/>
              </w:rPr>
            </m:ctrlPr>
          </m:fPr>
          <m:num>
            <m:r>
              <m:rPr>
                <m:sty m:val="p"/>
              </m:rPr>
              <w:rPr>
                <w:rFonts w:hint="eastAsia" w:ascii="Cambria Math" w:hAnsi="Cambria Math" w:cs="Times New Roman"/>
                <w:kern w:val="2"/>
                <w:sz w:val="28"/>
                <w:szCs w:val="28"/>
                <w:lang w:val="en-US" w:eastAsia="zh-CN" w:bidi="ar-SA"/>
              </w:rPr>
              <m:t>TP</m:t>
            </m:r>
            <m:ctrlPr>
              <w:rPr>
                <w:rFonts w:hint="default" w:ascii="Cambria Math" w:hAnsi="Cambria Math" w:cs="Times New Roman"/>
                <w:i w:val="0"/>
                <w:kern w:val="2"/>
                <w:sz w:val="28"/>
                <w:szCs w:val="28"/>
                <w:lang w:val="en-US" w:eastAsia="zh-CN" w:bidi="ar-SA"/>
              </w:rPr>
            </m:ctrlPr>
          </m:num>
          <m:den>
            <m:r>
              <m:rPr>
                <m:sty m:val="p"/>
              </m:rPr>
              <w:rPr>
                <w:rFonts w:hint="eastAsia" w:ascii="Cambria Math" w:hAnsi="Cambria Math" w:cs="Times New Roman"/>
                <w:kern w:val="2"/>
                <w:sz w:val="28"/>
                <w:szCs w:val="28"/>
                <w:lang w:val="en-US" w:eastAsia="zh-CN" w:bidi="ar-SA"/>
              </w:rPr>
              <m:t>TP</m:t>
            </m:r>
            <m:r>
              <m:rPr>
                <m:sty m:val="p"/>
              </m:rPr>
              <w:rPr>
                <w:rFonts w:hint="default" w:ascii="Cambria Math" w:hAnsi="Cambria Math" w:cs="Times New Roman"/>
                <w:kern w:val="2"/>
                <w:sz w:val="28"/>
                <w:szCs w:val="28"/>
                <w:lang w:val="en-US" w:eastAsia="zh-CN" w:bidi="ar-SA"/>
              </w:rPr>
              <m:t>+</m:t>
            </m:r>
            <m:r>
              <m:rPr>
                <m:sty m:val="p"/>
              </m:rPr>
              <w:rPr>
                <w:rFonts w:hint="eastAsia" w:ascii="Cambria Math" w:hAnsi="Cambria Math" w:cs="Times New Roman"/>
                <w:kern w:val="2"/>
                <w:sz w:val="28"/>
                <w:szCs w:val="28"/>
                <w:lang w:val="en-US" w:eastAsia="zh-CN" w:bidi="ar-SA"/>
              </w:rPr>
              <m:t>FN</m:t>
            </m:r>
            <m:ctrlPr>
              <w:rPr>
                <w:rFonts w:hint="default" w:ascii="Cambria Math" w:hAnsi="Cambria Math" w:cs="Times New Roman"/>
                <w:i w:val="0"/>
                <w:kern w:val="2"/>
                <w:sz w:val="28"/>
                <w:szCs w:val="28"/>
                <w:lang w:val="en-US" w:eastAsia="zh-CN" w:bidi="ar-SA"/>
              </w:rPr>
            </m:ctrlPr>
          </m:den>
        </m:f>
      </m:oMath>
    </w:p>
    <w:p>
      <w:pPr>
        <w:ind w:firstLine="420" w:firstLineChars="0"/>
        <w:jc w:val="both"/>
        <w:rPr>
          <w:rFonts w:hint="default" w:hAnsi="Cambria Math" w:cs="Times New Roman"/>
          <w:i w:val="0"/>
          <w:kern w:val="2"/>
          <w:sz w:val="28"/>
          <w:szCs w:val="28"/>
          <w:lang w:val="en-US" w:eastAsia="zh-CN" w:bidi="ar-SA"/>
        </w:rPr>
      </w:pPr>
      <w:r>
        <w:rPr>
          <w:rFonts w:hint="eastAsia" w:hAnsi="Cambria Math" w:cs="Times New Roman"/>
          <w:i w:val="0"/>
          <w:kern w:val="2"/>
          <w:sz w:val="28"/>
          <w:szCs w:val="28"/>
          <w:lang w:val="en-US" w:eastAsia="zh-CN" w:bidi="ar-SA"/>
        </w:rPr>
        <w:t>F1分数是对精确率和召回率的综合考量，因为其综合考虑了模型精确率和召回率，因此能够提供一个相对更加全面的评估模型性能的指标，其计算方式如公式3。但由于对不同的预测任务，对召回率和精确率的权重有时不同，因此在某些特定情况下，F1分数由于其无法分辨精确率和召回率的差异的特点，而难以适用，因此可能需要结合其他指标来更全面地评估模型性能。</w:t>
      </w:r>
    </w:p>
    <w:p>
      <w:pPr>
        <w:pStyle w:val="11"/>
        <w:ind w:firstLine="420" w:firstLineChars="0"/>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3</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F</m:t>
        </m:r>
        <m:r>
          <m:rPr>
            <m:sty m:val="p"/>
          </m:rPr>
          <w:rPr>
            <w:rFonts w:hint="default" w:ascii="Cambria Math" w:hAnsi="Cambria Math" w:cs="Times New Roman"/>
            <w:kern w:val="2"/>
            <w:sz w:val="28"/>
            <w:szCs w:val="28"/>
            <w:lang w:val="en-US" w:eastAsia="zh-CN" w:bidi="ar-SA"/>
          </w:rPr>
          <m:t xml:space="preserve">1 </m:t>
        </m:r>
        <m:r>
          <m:rPr>
            <m:sty m:val="p"/>
          </m:rPr>
          <w:rPr>
            <w:rFonts w:hint="eastAsia" w:ascii="Cambria Math" w:hAnsi="Cambria Math" w:cs="Times New Roman"/>
            <w:kern w:val="2"/>
            <w:sz w:val="28"/>
            <w:szCs w:val="28"/>
            <w:lang w:val="en-US" w:eastAsia="zh-CN" w:bidi="ar-SA"/>
          </w:rPr>
          <m:t>Score</m:t>
        </m:r>
        <m:r>
          <m:rPr>
            <m:sty m:val="p"/>
          </m:rPr>
          <w:rPr>
            <w:rFonts w:hint="default" w:ascii="Cambria Math" w:hAnsi="Cambria Math" w:cs="Times New Roman"/>
            <w:kern w:val="2"/>
            <w:sz w:val="28"/>
            <w:szCs w:val="28"/>
            <w:lang w:val="en-US" w:eastAsia="zh-CN" w:bidi="ar-SA"/>
          </w:rPr>
          <m:t xml:space="preserve"> = 2 </m:t>
        </m:r>
        <m:r>
          <m:rPr>
            <m:sty m:val="p"/>
          </m:rPr>
          <w:rPr>
            <w:rFonts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 xml:space="preserve"> </m:t>
        </m:r>
        <m:f>
          <m:fPr>
            <m:ctrlPr>
              <w:rPr>
                <w:rFonts w:ascii="Cambria Math" w:hAnsi="Cambria Math" w:cs="Times New Roman"/>
                <w:i/>
                <w:kern w:val="2"/>
                <w:sz w:val="28"/>
                <w:szCs w:val="28"/>
                <w:lang w:val="en-US" w:bidi="ar-SA"/>
              </w:rPr>
            </m:ctrlPr>
          </m:fPr>
          <m:num>
            <m:r>
              <m:rPr/>
              <w:rPr>
                <w:rFonts w:hint="default" w:ascii="Cambria Math" w:hAnsi="Cambria Math" w:cs="Times New Roman"/>
                <w:kern w:val="2"/>
                <w:sz w:val="28"/>
                <w:szCs w:val="28"/>
                <w:lang w:val="en-US" w:eastAsia="zh-CN" w:bidi="ar-SA"/>
              </w:rPr>
              <m:t xml:space="preserve">Precision </m:t>
            </m:r>
            <m:r>
              <m:rPr/>
              <w:rPr>
                <w:rFonts w:ascii="Cambria Math" w:hAnsi="Cambria Math" w:cs="Times New Roman"/>
                <w:kern w:val="2"/>
                <w:sz w:val="28"/>
                <w:szCs w:val="28"/>
                <w:lang w:val="en-US" w:bidi="ar-SA"/>
              </w:rPr>
              <m:t>×</m:t>
            </m:r>
            <m:r>
              <m:rPr/>
              <w:rPr>
                <w:rFonts w:hint="default" w:ascii="Cambria Math" w:hAnsi="Cambria Math" w:cs="Times New Roman"/>
                <w:kern w:val="2"/>
                <w:sz w:val="28"/>
                <w:szCs w:val="28"/>
                <w:lang w:val="en-US" w:eastAsia="zh-CN" w:bidi="ar-SA"/>
              </w:rPr>
              <m:t xml:space="preserve"> Recall</m:t>
            </m:r>
            <m:ctrlPr>
              <w:rPr>
                <w:rFonts w:ascii="Cambria Math" w:hAnsi="Cambria Math" w:cs="Times New Roman"/>
                <w:i/>
                <w:kern w:val="2"/>
                <w:sz w:val="28"/>
                <w:szCs w:val="28"/>
                <w:lang w:val="en-US" w:bidi="ar-SA"/>
              </w:rPr>
            </m:ctrlPr>
          </m:num>
          <m:den>
            <m:r>
              <m:rPr/>
              <w:rPr>
                <w:rFonts w:hint="default" w:ascii="Cambria Math" w:hAnsi="Cambria Math" w:cs="Times New Roman"/>
                <w:kern w:val="2"/>
                <w:sz w:val="28"/>
                <w:szCs w:val="28"/>
                <w:lang w:val="en-US" w:eastAsia="zh-CN" w:bidi="ar-SA"/>
              </w:rPr>
              <m:t>Precision + Recall</m:t>
            </m:r>
            <m:ctrlPr>
              <w:rPr>
                <w:rFonts w:ascii="Cambria Math" w:hAnsi="Cambria Math" w:cs="Times New Roman"/>
                <w:i/>
                <w:kern w:val="2"/>
                <w:sz w:val="28"/>
                <w:szCs w:val="28"/>
                <w:lang w:val="en-US" w:bidi="ar-SA"/>
              </w:rPr>
            </m:ctrlPr>
          </m:den>
        </m:f>
      </m:oMath>
    </w:p>
    <w:p>
      <w:pPr>
        <w:pStyle w:val="4"/>
        <w:bidi w:val="0"/>
        <w:spacing w:before="57" w:beforeLines="0" w:beforeAutospacing="0" w:after="57" w:afterLines="0" w:afterAutospacing="0"/>
        <w:rPr>
          <w:rFonts w:hint="eastAsia"/>
          <w:sz w:val="30"/>
          <w:szCs w:val="30"/>
          <w:lang w:val="en-US" w:eastAsia="zh-CN"/>
        </w:rPr>
      </w:pPr>
      <w:bookmarkStart w:id="27" w:name="_Toc7646"/>
      <w:r>
        <w:rPr>
          <w:rFonts w:hint="eastAsia"/>
          <w:sz w:val="30"/>
          <w:szCs w:val="30"/>
          <w:lang w:val="en-US" w:eastAsia="zh-CN"/>
        </w:rPr>
        <w:t>BLEU、ROUGE和精确匹配（EM）</w:t>
      </w:r>
      <w:bookmarkEnd w:id="27"/>
    </w:p>
    <w:p>
      <w:pPr>
        <w:ind w:firstLine="420" w:firstLineChars="0"/>
        <w:rPr>
          <w:rFonts w:hint="eastAsia"/>
          <w:sz w:val="30"/>
          <w:szCs w:val="30"/>
          <w:lang w:val="en-US" w:eastAsia="zh-CN"/>
        </w:rPr>
      </w:pPr>
      <w:r>
        <w:rPr>
          <w:rFonts w:hint="eastAsia"/>
          <w:sz w:val="30"/>
          <w:szCs w:val="30"/>
          <w:lang w:val="en-US" w:eastAsia="zh-CN"/>
        </w:rPr>
        <w:t>BLEU（Bilingual Evaluation Understudy Score）、ROUGE（Recall-Oriented Understudy for Gisting Evaluation）和精确匹配（Exact Match，简称EM），常用于评估NLP任务性能的指标，但它们分别又适用于不同的任务场景。</w:t>
      </w:r>
    </w:p>
    <w:p>
      <w:pPr>
        <w:ind w:firstLine="420" w:firstLineChars="0"/>
        <w:rPr>
          <w:rFonts w:hint="default" w:eastAsia="宋体"/>
          <w:sz w:val="30"/>
          <w:szCs w:val="30"/>
          <w:lang w:val="en-US" w:eastAsia="zh-CN"/>
        </w:rPr>
      </w:pPr>
      <w:r>
        <w:rPr>
          <w:rFonts w:hint="eastAsia"/>
          <w:sz w:val="30"/>
          <w:szCs w:val="30"/>
          <w:lang w:val="en-US" w:eastAsia="zh-CN"/>
        </w:rPr>
        <w:t>BLEU主要用于评估机器翻译系统质量，它主要通过比较机器生成的翻译与人类专家的参考翻译之间的相似度来量化翻译的准确性。其计算方式如公式4和公式5。其中对于公式4中，BP是短文惩罚，用于惩罚生成文本过短的情况，它是参考文本与生成文本的长度之比的函数；N是n-gram的最大长度；</w:t>
      </w:r>
      <m:oMath>
        <m:sSub>
          <m:sSubPr>
            <m:ctrlPr>
              <w:rPr>
                <w:rFonts w:ascii="Cambria Math" w:hAnsi="Cambria Math"/>
                <w:i/>
                <w:sz w:val="30"/>
                <w:szCs w:val="30"/>
                <w:lang w:val="en-US"/>
              </w:rPr>
            </m:ctrlPr>
          </m:sSubPr>
          <m:e>
            <m:r>
              <m:rPr/>
              <w:rPr>
                <w:rFonts w:hint="default" w:ascii="Cambria Math" w:hAnsi="Cambria Math"/>
                <w:sz w:val="30"/>
                <w:szCs w:val="30"/>
                <w:lang w:val="en-US" w:eastAsia="zh-CN"/>
              </w:rPr>
              <m:t>P</m:t>
            </m:r>
            <m:ctrlPr>
              <w:rPr>
                <w:rFonts w:ascii="Cambria Math" w:hAnsi="Cambria Math"/>
                <w:i/>
                <w:sz w:val="30"/>
                <w:szCs w:val="30"/>
                <w:lang w:val="en-US"/>
              </w:rPr>
            </m:ctrlPr>
          </m:e>
          <m:sub>
            <m:r>
              <m:rPr/>
              <w:rPr>
                <w:rFonts w:hint="default" w:ascii="Cambria Math" w:hAnsi="Cambria Math"/>
                <w:sz w:val="30"/>
                <w:szCs w:val="30"/>
                <w:lang w:val="en-US" w:eastAsia="zh-CN"/>
              </w:rPr>
              <m:t>n</m:t>
            </m:r>
            <m:ctrlPr>
              <w:rPr>
                <w:rFonts w:ascii="Cambria Math" w:hAnsi="Cambria Math"/>
                <w:i/>
                <w:sz w:val="30"/>
                <w:szCs w:val="30"/>
                <w:lang w:val="en-US"/>
              </w:rPr>
            </m:ctrlPr>
          </m:sub>
        </m:sSub>
      </m:oMath>
      <w:r>
        <w:rPr>
          <w:rFonts w:hint="eastAsia" w:hAnsi="Cambria Math"/>
          <w:i w:val="0"/>
          <w:sz w:val="30"/>
          <w:szCs w:val="30"/>
          <w:lang w:val="en-US" w:eastAsia="zh-CN"/>
        </w:rPr>
        <w:t>是n-gram的精度，他是生成文本中与参考文本匹配的n-gram数量与参考文本中n-gram的总数之比；</w:t>
      </w:r>
      <m:oMath>
        <m:sSub>
          <m:sSubPr>
            <m:ctrlPr>
              <w:rPr>
                <w:rFonts w:ascii="Cambria Math" w:hAnsi="Cambria Math"/>
                <w:i/>
                <w:sz w:val="30"/>
                <w:szCs w:val="30"/>
                <w:lang w:val="en-US"/>
              </w:rPr>
            </m:ctrlPr>
          </m:sSubPr>
          <m:e>
            <m:r>
              <m:rPr/>
              <w:rPr>
                <w:rFonts w:hint="default" w:ascii="Cambria Math" w:hAnsi="Cambria Math"/>
                <w:sz w:val="30"/>
                <w:szCs w:val="30"/>
                <w:lang w:val="en-US" w:eastAsia="zh-CN"/>
              </w:rPr>
              <m:t>w</m:t>
            </m:r>
            <m:ctrlPr>
              <w:rPr>
                <w:rFonts w:ascii="Cambria Math" w:hAnsi="Cambria Math"/>
                <w:i/>
                <w:sz w:val="30"/>
                <w:szCs w:val="30"/>
                <w:lang w:val="en-US"/>
              </w:rPr>
            </m:ctrlPr>
          </m:e>
          <m:sub>
            <m:r>
              <m:rPr/>
              <w:rPr>
                <w:rFonts w:hint="default" w:ascii="Cambria Math" w:hAnsi="Cambria Math"/>
                <w:sz w:val="30"/>
                <w:szCs w:val="30"/>
                <w:lang w:val="en-US" w:eastAsia="zh-CN"/>
              </w:rPr>
              <m:t>n</m:t>
            </m:r>
            <m:ctrlPr>
              <w:rPr>
                <w:rFonts w:ascii="Cambria Math" w:hAnsi="Cambria Math"/>
                <w:i/>
                <w:sz w:val="30"/>
                <w:szCs w:val="30"/>
                <w:lang w:val="en-US"/>
              </w:rPr>
            </m:ctrlPr>
          </m:sub>
        </m:sSub>
      </m:oMath>
      <w:r>
        <w:rPr>
          <w:rFonts w:hint="eastAsia" w:hAnsi="Cambria Math"/>
          <w:i w:val="0"/>
          <w:sz w:val="30"/>
          <w:szCs w:val="30"/>
          <w:lang w:val="en-US" w:eastAsia="zh-CN"/>
        </w:rPr>
        <w:t>是各个n-gram精度的权重，通常经过几何平均计算得到。对于公式5中，c为生成文本，r为参考文本，用于计算惩罚因子BP的大小。</w:t>
      </w:r>
    </w:p>
    <w:p>
      <w:pPr>
        <w:pStyle w:val="11"/>
        <w:ind w:firstLine="420" w:firstLineChars="0"/>
        <w:jc w:val="center"/>
        <w:rPr>
          <w:rFonts w:hint="default" w:hAnsi="Cambria Math" w:cs="Cambria Math"/>
          <w:i w:val="0"/>
          <w:kern w:val="2"/>
          <w:sz w:val="30"/>
          <w:szCs w:val="30"/>
          <w:lang w:val="en-US" w:eastAsia="zh-CN" w:bidi="ar-SA"/>
        </w:rPr>
      </w:pPr>
      <w:r>
        <w:t xml:space="preserve">公式 </w:t>
      </w:r>
      <w:r>
        <w:fldChar w:fldCharType="begin"/>
      </w:r>
      <w:r>
        <w:instrText xml:space="preserve"> SEQ 公式 \* ARABIC </w:instrText>
      </w:r>
      <w:r>
        <w:fldChar w:fldCharType="separate"/>
      </w:r>
      <w:r>
        <w:t>4</w:t>
      </w:r>
      <w:r>
        <w:fldChar w:fldCharType="end"/>
      </w:r>
      <w:r>
        <w:rPr>
          <w:rFonts w:hint="eastAsia"/>
          <w:lang w:eastAsia="zh-CN"/>
        </w:rPr>
        <w:t>：</w:t>
      </w:r>
      <m:oMath>
        <m:r>
          <m:rPr>
            <m:sty m:val="p"/>
          </m:rPr>
          <w:rPr>
            <w:rFonts w:hint="eastAsia" w:ascii="Cambria Math" w:hAnsi="Cambria Math" w:cs="Times New Roman"/>
            <w:kern w:val="2"/>
            <w:sz w:val="30"/>
            <w:szCs w:val="30"/>
            <w:lang w:val="en-US" w:eastAsia="zh-CN" w:bidi="ar-SA"/>
          </w:rPr>
          <m:t>BLEU</m:t>
        </m:r>
        <m:r>
          <m:rPr>
            <m:sty m:val="p"/>
          </m:rPr>
          <w:rPr>
            <w:rFonts w:hint="default" w:ascii="Cambria Math" w:hAnsi="Cambria Math" w:cs="Times New Roman"/>
            <w:kern w:val="2"/>
            <w:sz w:val="30"/>
            <w:szCs w:val="30"/>
            <w:lang w:val="en-US" w:eastAsia="zh-CN" w:bidi="ar-SA"/>
          </w:rPr>
          <m:t xml:space="preserve"> = </m:t>
        </m:r>
        <m:r>
          <m:rPr>
            <m:sty m:val="p"/>
          </m:rPr>
          <w:rPr>
            <w:rFonts w:hint="eastAsia" w:ascii="Cambria Math" w:hAnsi="Cambria Math" w:cs="Times New Roman"/>
            <w:kern w:val="2"/>
            <w:sz w:val="30"/>
            <w:szCs w:val="30"/>
            <w:lang w:val="en-US" w:eastAsia="zh-CN" w:bidi="ar-SA"/>
          </w:rPr>
          <m:t>BP</m:t>
        </m:r>
        <m:r>
          <m:rPr>
            <m:sty m:val="p"/>
          </m:rPr>
          <w:rPr>
            <w:rFonts w:hint="default" w:ascii="Cambria Math" w:hAnsi="Cambria Math" w:cs="Times New Roman"/>
            <w:kern w:val="2"/>
            <w:sz w:val="30"/>
            <w:szCs w:val="30"/>
            <w:lang w:val="en-US" w:eastAsia="zh-CN" w:bidi="ar-SA"/>
          </w:rPr>
          <m:t xml:space="preserve"> </m:t>
        </m:r>
        <m:r>
          <m:rPr>
            <m:sty m:val="p"/>
          </m:rPr>
          <w:rPr>
            <w:rFonts w:hint="default" w:ascii="Cambria Math" w:hAnsi="Cambria Math" w:cs="Cambria Math"/>
            <w:kern w:val="2"/>
            <w:sz w:val="30"/>
            <w:szCs w:val="30"/>
            <w:lang w:val="en-US" w:eastAsia="zh-CN" w:bidi="ar-SA"/>
          </w:rPr>
          <m:t xml:space="preserve">× </m:t>
        </m:r>
        <m:r>
          <m:rPr>
            <m:sty m:val="p"/>
          </m:rPr>
          <w:rPr>
            <w:rFonts w:hint="eastAsia" w:ascii="Cambria Math" w:hAnsi="Cambria Math" w:cs="Cambria Math"/>
            <w:kern w:val="2"/>
            <w:sz w:val="30"/>
            <w:szCs w:val="30"/>
            <w:lang w:val="en-US" w:eastAsia="zh-CN" w:bidi="ar-SA"/>
          </w:rPr>
          <m:t>exp</m:t>
        </m:r>
        <m:r>
          <m:rPr>
            <m:sty m:val="p"/>
          </m:rPr>
          <w:rPr>
            <w:rFonts w:hint="default" w:ascii="Cambria Math" w:hAnsi="Cambria Math" w:cs="Cambria Math"/>
            <w:kern w:val="2"/>
            <w:sz w:val="30"/>
            <w:szCs w:val="30"/>
            <w:lang w:val="en-US" w:eastAsia="zh-CN" w:bidi="ar-SA"/>
          </w:rPr>
          <m:t>(</m:t>
        </m:r>
        <m:nary>
          <m:naryPr>
            <m:chr m:val="∑"/>
            <m:limLoc m:val="undOvr"/>
            <m:ctrlPr>
              <w:rPr>
                <w:rFonts w:hint="eastAsia" w:ascii="Cambria Math" w:hAnsi="Cambria Math" w:cs="Cambria Math"/>
                <w:kern w:val="2"/>
                <w:sz w:val="30"/>
                <w:szCs w:val="30"/>
                <w:lang w:val="en-US" w:eastAsia="zh-CN" w:bidi="ar-SA"/>
              </w:rPr>
            </m:ctrlPr>
          </m:naryPr>
          <m:sub>
            <m:r>
              <m:rPr>
                <m:sty m:val="p"/>
              </m:rPr>
              <w:rPr>
                <w:rFonts w:hint="default" w:ascii="Cambria Math" w:hAnsi="Cambria Math" w:cs="Cambria Math"/>
                <w:kern w:val="2"/>
                <w:sz w:val="30"/>
                <w:szCs w:val="30"/>
                <w:lang w:val="en-US" w:eastAsia="zh-CN" w:bidi="ar-SA"/>
              </w:rPr>
              <m:t>n = 1</m:t>
            </m:r>
            <m:ctrlPr>
              <w:rPr>
                <w:rFonts w:hint="eastAsia" w:ascii="Cambria Math" w:hAnsi="Cambria Math" w:cs="Cambria Math"/>
                <w:kern w:val="2"/>
                <w:sz w:val="30"/>
                <w:szCs w:val="30"/>
                <w:lang w:val="en-US" w:eastAsia="zh-CN" w:bidi="ar-SA"/>
              </w:rPr>
            </m:ctrlPr>
          </m:sub>
          <m:sup>
            <m:r>
              <m:rPr>
                <m:sty m:val="p"/>
              </m:rPr>
              <w:rPr>
                <w:rFonts w:hint="eastAsia" w:ascii="Cambria Math" w:hAnsi="Cambria Math" w:cs="Cambria Math"/>
                <w:kern w:val="2"/>
                <w:sz w:val="30"/>
                <w:szCs w:val="30"/>
                <w:lang w:val="en-US" w:eastAsia="zh-CN" w:bidi="ar-SA"/>
              </w:rPr>
              <m:t>N</m:t>
            </m:r>
            <m:ctrlPr>
              <w:rPr>
                <w:rFonts w:hint="eastAsia" w:ascii="Cambria Math" w:hAnsi="Cambria Math" w:cs="Cambria Math"/>
                <w:kern w:val="2"/>
                <w:sz w:val="30"/>
                <w:szCs w:val="30"/>
                <w:lang w:val="en-US" w:eastAsia="zh-CN" w:bidi="ar-SA"/>
              </w:rPr>
            </m:ctrlPr>
          </m:sup>
          <m:e>
            <m:sSub>
              <m:sSubPr>
                <m:ctrlPr>
                  <w:rPr>
                    <w:rFonts w:hint="eastAsia" w:ascii="Cambria Math" w:hAnsi="Cambria Math" w:cs="Cambria Math"/>
                    <w:kern w:val="2"/>
                    <w:sz w:val="30"/>
                    <w:szCs w:val="30"/>
                    <w:lang w:val="en-US" w:eastAsia="zh-CN" w:bidi="ar-SA"/>
                  </w:rPr>
                </m:ctrlPr>
              </m:sSubPr>
              <m:e>
                <m:r>
                  <m:rPr>
                    <m:sty m:val="p"/>
                  </m:rPr>
                  <w:rPr>
                    <w:rFonts w:hint="default" w:ascii="Cambria Math" w:hAnsi="Cambria Math" w:cs="Cambria Math"/>
                    <w:kern w:val="2"/>
                    <w:sz w:val="30"/>
                    <w:szCs w:val="30"/>
                    <w:lang w:val="en-US" w:eastAsia="zh-CN" w:bidi="ar-SA"/>
                  </w:rPr>
                  <m:t>w</m:t>
                </m:r>
                <m:ctrlPr>
                  <w:rPr>
                    <w:rFonts w:hint="eastAsia" w:ascii="Cambria Math" w:hAnsi="Cambria Math" w:cs="Cambria Math"/>
                    <w:kern w:val="2"/>
                    <w:sz w:val="30"/>
                    <w:szCs w:val="30"/>
                    <w:lang w:val="en-US" w:eastAsia="zh-CN" w:bidi="ar-SA"/>
                  </w:rPr>
                </m:ctrlPr>
              </m:e>
              <m:sub>
                <m:r>
                  <m:rPr>
                    <m:sty m:val="p"/>
                  </m:rPr>
                  <w:rPr>
                    <w:rFonts w:hint="default" w:ascii="Cambria Math" w:hAnsi="Cambria Math" w:cs="Cambria Math"/>
                    <w:kern w:val="2"/>
                    <w:sz w:val="30"/>
                    <w:szCs w:val="30"/>
                    <w:lang w:val="en-US" w:eastAsia="zh-CN" w:bidi="ar-SA"/>
                  </w:rPr>
                  <m:t>n</m:t>
                </m:r>
                <m:ctrlPr>
                  <w:rPr>
                    <w:rFonts w:hint="eastAsia" w:ascii="Cambria Math" w:hAnsi="Cambria Math" w:cs="Cambria Math"/>
                    <w:kern w:val="2"/>
                    <w:sz w:val="30"/>
                    <w:szCs w:val="30"/>
                    <w:lang w:val="en-US" w:eastAsia="zh-CN" w:bidi="ar-SA"/>
                  </w:rPr>
                </m:ctrlPr>
              </m:sub>
            </m:sSub>
            <m:r>
              <m:rPr>
                <m:sty m:val="p"/>
              </m:rPr>
              <w:rPr>
                <w:rFonts w:ascii="Cambria Math" w:hAnsi="Cambria Math" w:cs="Cambria Math"/>
                <w:kern w:val="2"/>
                <w:sz w:val="30"/>
                <w:szCs w:val="30"/>
                <w:lang w:val="en-US" w:bidi="ar-SA"/>
              </w:rPr>
              <m:t>∙</m:t>
            </m:r>
            <m:r>
              <m:rPr>
                <m:sty m:val="p"/>
              </m:rPr>
              <w:rPr>
                <w:rFonts w:hint="default" w:ascii="Cambria Math" w:hAnsi="Cambria Math" w:cs="Cambria Math"/>
                <w:kern w:val="2"/>
                <w:sz w:val="30"/>
                <w:szCs w:val="30"/>
                <w:lang w:val="en-US" w:eastAsia="zh-CN" w:bidi="ar-SA"/>
              </w:rPr>
              <m:t>log</m:t>
            </m:r>
            <m:sSub>
              <m:sSubPr>
                <m:ctrlPr>
                  <w:rPr>
                    <w:rFonts w:hint="default" w:ascii="Cambria Math" w:hAnsi="Cambria Math" w:cs="Cambria Math"/>
                    <w:kern w:val="2"/>
                    <w:sz w:val="30"/>
                    <w:szCs w:val="30"/>
                    <w:lang w:val="en-US" w:eastAsia="zh-CN" w:bidi="ar-SA"/>
                  </w:rPr>
                </m:ctrlPr>
              </m:sSubPr>
              <m:e>
                <m:r>
                  <m:rPr>
                    <m:sty m:val="p"/>
                  </m:rPr>
                  <w:rPr>
                    <w:rFonts w:hint="default" w:ascii="Cambria Math" w:hAnsi="Cambria Math" w:cs="Cambria Math"/>
                    <w:kern w:val="2"/>
                    <w:sz w:val="30"/>
                    <w:szCs w:val="30"/>
                    <w:lang w:val="en-US" w:eastAsia="zh-CN" w:bidi="ar-SA"/>
                  </w:rPr>
                  <m:t>P</m:t>
                </m:r>
                <m:ctrlPr>
                  <w:rPr>
                    <w:rFonts w:hint="default" w:ascii="Cambria Math" w:hAnsi="Cambria Math" w:cs="Cambria Math"/>
                    <w:kern w:val="2"/>
                    <w:sz w:val="30"/>
                    <w:szCs w:val="30"/>
                    <w:lang w:val="en-US" w:eastAsia="zh-CN" w:bidi="ar-SA"/>
                  </w:rPr>
                </m:ctrlPr>
              </m:e>
              <m:sub>
                <m:r>
                  <m:rPr>
                    <m:sty m:val="p"/>
                  </m:rPr>
                  <w:rPr>
                    <w:rFonts w:hint="default" w:ascii="Cambria Math" w:hAnsi="Cambria Math" w:cs="Cambria Math"/>
                    <w:kern w:val="2"/>
                    <w:sz w:val="30"/>
                    <w:szCs w:val="30"/>
                    <w:lang w:val="en-US" w:eastAsia="zh-CN" w:bidi="ar-SA"/>
                  </w:rPr>
                  <m:t>n</m:t>
                </m:r>
                <m:ctrlPr>
                  <w:rPr>
                    <w:rFonts w:hint="default" w:ascii="Cambria Math" w:hAnsi="Cambria Math" w:cs="Cambria Math"/>
                    <w:kern w:val="2"/>
                    <w:sz w:val="30"/>
                    <w:szCs w:val="30"/>
                    <w:lang w:val="en-US" w:eastAsia="zh-CN" w:bidi="ar-SA"/>
                  </w:rPr>
                </m:ctrlPr>
              </m:sub>
            </m:sSub>
            <m:ctrlPr>
              <w:rPr>
                <w:rFonts w:hint="eastAsia" w:ascii="Cambria Math" w:hAnsi="Cambria Math" w:cs="Cambria Math"/>
                <w:kern w:val="2"/>
                <w:sz w:val="30"/>
                <w:szCs w:val="30"/>
                <w:lang w:val="en-US" w:eastAsia="zh-CN" w:bidi="ar-SA"/>
              </w:rPr>
            </m:ctrlPr>
          </m:e>
        </m:nary>
        <m:r>
          <m:rPr>
            <m:sty m:val="p"/>
          </m:rPr>
          <w:rPr>
            <w:rFonts w:hint="default" w:ascii="Cambria Math" w:hAnsi="Cambria Math" w:cs="Cambria Math"/>
            <w:kern w:val="2"/>
            <w:sz w:val="30"/>
            <w:szCs w:val="30"/>
            <w:lang w:val="en-US" w:eastAsia="zh-CN" w:bidi="ar-SA"/>
          </w:rPr>
          <m:t>)</m:t>
        </m:r>
      </m:oMath>
    </w:p>
    <w:p>
      <w:pPr>
        <w:pStyle w:val="11"/>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5</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BP</m:t>
        </m:r>
        <m:r>
          <m:rPr>
            <m:sty m:val="p"/>
          </m:rPr>
          <w:rPr>
            <w:rFonts w:hint="default" w:ascii="Cambria Math" w:hAnsi="Cambria Math" w:cs="Times New Roman"/>
            <w:kern w:val="2"/>
            <w:sz w:val="28"/>
            <w:szCs w:val="28"/>
            <w:lang w:val="en-US" w:eastAsia="zh-CN" w:bidi="ar-SA"/>
          </w:rPr>
          <m:t xml:space="preserve"> = </m:t>
        </m:r>
        <m:d>
          <m:dPr>
            <m:begChr m:val="{"/>
            <m:endChr m:val=""/>
            <m:ctrlPr>
              <w:rPr>
                <w:rFonts w:hint="default" w:ascii="Cambria Math" w:hAnsi="Cambria Math" w:cs="Times New Roman"/>
                <w:kern w:val="2"/>
                <w:sz w:val="28"/>
                <w:szCs w:val="28"/>
                <w:lang w:val="en-US" w:eastAsia="zh-CN" w:bidi="ar-SA"/>
              </w:rPr>
            </m:ctrlPr>
          </m:dPr>
          <m:e>
            <m:eqArr>
              <m:eqArrPr>
                <m:ctrlPr>
                  <w:rPr>
                    <w:rFonts w:hint="default" w:ascii="Cambria Math" w:hAnsi="Cambria Math" w:cs="Times New Roman"/>
                    <w:kern w:val="2"/>
                    <w:sz w:val="28"/>
                    <w:szCs w:val="28"/>
                    <w:lang w:val="en-US" w:eastAsia="zh-CN" w:bidi="ar-SA"/>
                  </w:rPr>
                </m:ctrlPr>
              </m:eqArrPr>
              <m:e>
                <m:r>
                  <m:rPr>
                    <m:sty m:val="p"/>
                  </m:rPr>
                  <w:rPr>
                    <w:rFonts w:hint="default" w:ascii="Cambria Math" w:hAnsi="Cambria Math" w:cs="Times New Roman"/>
                    <w:kern w:val="2"/>
                    <w:sz w:val="28"/>
                    <w:szCs w:val="28"/>
                    <w:lang w:val="en-US" w:eastAsia="zh-CN" w:bidi="ar-SA"/>
                  </w:rPr>
                  <m:t>1                   if c&gt; r</m:t>
                </m:r>
                <m:ctrlPr>
                  <w:rPr>
                    <w:rFonts w:hint="default" w:ascii="Cambria Math" w:hAnsi="Cambria Math" w:cs="Times New Roman"/>
                    <w:kern w:val="2"/>
                    <w:sz w:val="28"/>
                    <w:szCs w:val="28"/>
                    <w:lang w:val="en-US" w:eastAsia="zh-CN" w:bidi="ar-SA"/>
                  </w:rPr>
                </m:ctrlPr>
              </m:e>
              <m:e>
                <m:r>
                  <m:rPr>
                    <m:sty m:val="p"/>
                  </m:rPr>
                  <w:rPr>
                    <w:rFonts w:hint="default" w:ascii="Cambria Math" w:hAnsi="Cambria Math" w:cs="Times New Roman"/>
                    <w:kern w:val="2"/>
                    <w:sz w:val="28"/>
                    <w:szCs w:val="28"/>
                    <w:lang w:val="en-US" w:eastAsia="zh-CN" w:bidi="ar-SA"/>
                  </w:rPr>
                  <m:t>exp(1−</m:t>
                </m:r>
                <m:box>
                  <m:boxPr>
                    <m:ctrlPr>
                      <w:rPr>
                        <w:rFonts w:hint="default" w:ascii="Cambria Math" w:hAnsi="Cambria Math" w:cs="Times New Roman"/>
                        <w:kern w:val="2"/>
                        <w:sz w:val="28"/>
                        <w:szCs w:val="28"/>
                        <w:lang w:val="en-US" w:eastAsia="zh-CN" w:bidi="ar-SA"/>
                      </w:rPr>
                    </m:ctrlPr>
                  </m:boxPr>
                  <m:e>
                    <m:argPr>
                      <m:argSz m:val="-1"/>
                    </m:argPr>
                    <m:f>
                      <m:fPr>
                        <m:ctrlPr>
                          <w:rPr>
                            <w:rFonts w:hint="default" w:ascii="Cambria Math" w:hAnsi="Cambria Math" w:cs="Times New Roman"/>
                            <w:kern w:val="2"/>
                            <w:sz w:val="28"/>
                            <w:szCs w:val="28"/>
                            <w:lang w:val="en-US" w:eastAsia="zh-CN" w:bidi="ar-SA"/>
                          </w:rPr>
                        </m:ctrlPr>
                      </m:fPr>
                      <m:num>
                        <m:r>
                          <m:rPr>
                            <m:sty m:val="p"/>
                          </m:rPr>
                          <w:rPr>
                            <w:rFonts w:hint="default" w:ascii="Cambria Math" w:hAnsi="Cambria Math" w:cs="Times New Roman"/>
                            <w:kern w:val="2"/>
                            <w:sz w:val="28"/>
                            <w:szCs w:val="28"/>
                            <w:lang w:val="en-US" w:eastAsia="zh-CN" w:bidi="ar-SA"/>
                          </w:rPr>
                          <m:t>r</m:t>
                        </m:r>
                        <m:ctrlPr>
                          <w:rPr>
                            <w:rFonts w:hint="default" w:ascii="Cambria Math" w:hAnsi="Cambria Math" w:cs="Times New Roman"/>
                            <w:kern w:val="2"/>
                            <w:sz w:val="28"/>
                            <w:szCs w:val="28"/>
                            <w:lang w:val="en-US" w:eastAsia="zh-CN" w:bidi="ar-SA"/>
                          </w:rPr>
                        </m:ctrlPr>
                      </m:num>
                      <m:den>
                        <m:r>
                          <m:rPr>
                            <m:sty m:val="p"/>
                          </m:rPr>
                          <w:rPr>
                            <w:rFonts w:hint="default" w:ascii="Cambria Math" w:hAnsi="Cambria Math" w:cs="Times New Roman"/>
                            <w:kern w:val="2"/>
                            <w:sz w:val="28"/>
                            <w:szCs w:val="28"/>
                            <w:lang w:val="en-US" w:eastAsia="zh-CN" w:bidi="ar-SA"/>
                          </w:rPr>
                          <m:t>c</m:t>
                        </m:r>
                        <m:ctrlPr>
                          <w:rPr>
                            <w:rFonts w:hint="default" w:ascii="Cambria Math" w:hAnsi="Cambria Math" w:cs="Times New Roman"/>
                            <w:kern w:val="2"/>
                            <w:sz w:val="28"/>
                            <w:szCs w:val="28"/>
                            <w:lang w:val="en-US" w:eastAsia="zh-CN" w:bidi="ar-SA"/>
                          </w:rPr>
                        </m:ctrlPr>
                      </m:den>
                    </m:f>
                    <m:ctrlPr>
                      <w:rPr>
                        <w:rFonts w:hint="default" w:ascii="Cambria Math" w:hAnsi="Cambria Math" w:cs="Times New Roman"/>
                        <w:kern w:val="2"/>
                        <w:sz w:val="28"/>
                        <w:szCs w:val="28"/>
                        <w:lang w:val="en-US" w:eastAsia="zh-CN" w:bidi="ar-SA"/>
                      </w:rPr>
                    </m:ctrlPr>
                  </m:e>
                </m:box>
                <m:r>
                  <m:rPr>
                    <m:sty m:val="p"/>
                  </m:rPr>
                  <w:rPr>
                    <w:rFonts w:hint="default" w:ascii="Cambria Math" w:hAnsi="Cambria Math" w:cs="Times New Roman"/>
                    <w:kern w:val="2"/>
                    <w:sz w:val="28"/>
                    <w:szCs w:val="28"/>
                    <w:lang w:val="en-US" w:eastAsia="zh-CN" w:bidi="ar-SA"/>
                  </w:rPr>
                  <m:t>)  if c</m:t>
                </m:r>
                <m:r>
                  <m:rPr>
                    <m:sty m:val="p"/>
                  </m:rPr>
                  <w:rPr>
                    <w:rFonts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 xml:space="preserve"> r</m:t>
                </m:r>
                <m:ctrlPr>
                  <w:rPr>
                    <w:rFonts w:hint="default" w:ascii="Cambria Math" w:hAnsi="Cambria Math" w:cs="Times New Roman"/>
                    <w:kern w:val="2"/>
                    <w:sz w:val="28"/>
                    <w:szCs w:val="28"/>
                    <w:lang w:val="en-US" w:eastAsia="zh-CN" w:bidi="ar-SA"/>
                  </w:rPr>
                </m:ctrlPr>
              </m:e>
            </m:eqArr>
            <m:ctrlPr>
              <w:rPr>
                <w:rFonts w:hint="default" w:ascii="Cambria Math" w:hAnsi="Cambria Math" w:cs="Times New Roman"/>
                <w:kern w:val="2"/>
                <w:sz w:val="28"/>
                <w:szCs w:val="28"/>
                <w:lang w:val="en-US" w:eastAsia="zh-CN" w:bidi="ar-SA"/>
              </w:rPr>
            </m:ctrlPr>
          </m:e>
        </m:d>
      </m:oMath>
    </w:p>
    <w:p>
      <w:pPr>
        <w:ind w:firstLine="420" w:firstLineChars="0"/>
        <w:rPr>
          <w:rFonts w:hint="default"/>
          <w:lang w:val="en-US" w:eastAsia="zh-CN"/>
        </w:rPr>
      </w:pPr>
      <w:r>
        <w:rPr>
          <w:rFonts w:hint="eastAsia"/>
          <w:lang w:val="en-US" w:eastAsia="zh-CN"/>
        </w:rPr>
        <w:t>ROUGE指标和BLEU指标适用任务类型相同，也是通过对生成文本和参考文本之间的重合度，来对生成文本进行质量评估。ROUGE的具体计算公式因指标类型而异，主要有ROUGE-N、ROOUGE-L和ROUGE-W。其中ROUGE-N主要关注n-gram的重叠度情况；ROUGE-L关注最长公共子序列的长度，能够更好的反映生成文本和参考文本之间的整体结构相似性；ROUGE-W通过引入词级别的权重，更加注重词级别的重叠度情况，能够更准确地反映系统生成文本与参考文本之间地语义相似度。上述三种ROUGE指标计算方式分别如公式6、公式7和公式8所示。其中公式8中，Weighted LCS是生成文本与参考文本之间的加权最长公共子序列，Weight of all words in reference是参考文本中所有词的总权重。</w:t>
      </w:r>
    </w:p>
    <w:p>
      <w:pPr>
        <w:pStyle w:val="11"/>
        <w:ind w:firstLine="420" w:firstLineChars="0"/>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6</w:t>
      </w:r>
      <w:r>
        <w:fldChar w:fldCharType="end"/>
      </w:r>
      <w:r>
        <w:rPr>
          <w:rFonts w:hint="eastAsia"/>
          <w:lang w:eastAsia="zh-CN"/>
        </w:rPr>
        <w:t>：</w:t>
      </w:r>
      <m:oMath>
        <m:r>
          <m:rPr>
            <m:sty m:val="p"/>
          </m:rPr>
          <w:rPr>
            <w:rFonts w:hint="default" w:ascii="Cambria Math" w:hAnsi="Cambria Math" w:cs="Times New Roman"/>
            <w:kern w:val="2"/>
            <w:sz w:val="28"/>
            <w:szCs w:val="28"/>
            <w:lang w:val="en-US" w:eastAsia="zh-CN" w:bidi="ar-SA"/>
          </w:rPr>
          <m:t>ROUGE−</m:t>
        </m:r>
        <m:r>
          <m:rPr>
            <m:sty m:val="p"/>
          </m:rPr>
          <w:rPr>
            <w:rFonts w:hint="eastAsia" w:ascii="Cambria Math" w:hAnsi="Cambria Math" w:cs="Times New Roman"/>
            <w:kern w:val="2"/>
            <w:sz w:val="28"/>
            <w:szCs w:val="28"/>
            <w:lang w:val="en-US" w:eastAsia="zh-CN" w:bidi="ar-SA"/>
          </w:rPr>
          <m:t>N</m:t>
        </m:r>
        <m:r>
          <m:rPr>
            <m:sty m:val="p"/>
          </m:rPr>
          <w:rPr>
            <w:rFonts w:hint="default" w:ascii="Cambria Math" w:hAnsi="Cambria Math" w:cs="Times New Roman"/>
            <w:kern w:val="2"/>
            <w:sz w:val="28"/>
            <w:szCs w:val="28"/>
            <w:lang w:val="en-US" w:eastAsia="zh-CN" w:bidi="ar-SA"/>
          </w:rPr>
          <m:t xml:space="preserve"> = </m:t>
        </m:r>
        <m:f>
          <m:fPr>
            <m:ctrlPr>
              <w:rPr>
                <w:rFonts w:hint="default" w:ascii="Cambria Math" w:hAnsi="Cambria Math" w:cs="Times New Roman"/>
                <w:kern w:val="2"/>
                <w:sz w:val="28"/>
                <w:szCs w:val="28"/>
                <w:lang w:val="en-US" w:eastAsia="zh-CN" w:bidi="ar-SA"/>
              </w:rPr>
            </m:ctrlPr>
          </m:fPr>
          <m:num>
            <m:r>
              <m:rPr>
                <m:sty m:val="p"/>
              </m:rPr>
              <w:rPr>
                <w:rFonts w:hint="default" w:ascii="Cambria Math" w:hAnsi="Cambria Math" w:cs="Times New Roman"/>
                <w:kern w:val="2"/>
                <w:sz w:val="28"/>
                <w:szCs w:val="28"/>
                <w:lang w:val="en-US" w:eastAsia="zh-CN" w:bidi="ar-SA"/>
              </w:rPr>
              <m:t>n−gram</m:t>
            </m:r>
            <m:r>
              <m:rPr>
                <m:sty m:val="p"/>
              </m:rPr>
              <w:rPr>
                <w:rFonts w:hint="eastAsia" w:ascii="Cambria Math" w:hAnsi="Cambria Math" w:cs="Times New Roman"/>
                <w:kern w:val="2"/>
                <w:sz w:val="28"/>
                <w:szCs w:val="28"/>
                <w:lang w:val="en-US" w:eastAsia="zh-CN" w:bidi="ar-SA"/>
              </w:rPr>
              <m:t>重叠总数</m:t>
            </m:r>
            <m:ctrlPr>
              <w:rPr>
                <w:rFonts w:hint="default" w:ascii="Cambria Math" w:hAnsi="Cambria Math" w:cs="Times New Roman"/>
                <w:kern w:val="2"/>
                <w:sz w:val="28"/>
                <w:szCs w:val="28"/>
                <w:lang w:val="en-US" w:eastAsia="zh-CN" w:bidi="ar-SA"/>
              </w:rPr>
            </m:ctrlPr>
          </m:num>
          <m:den>
            <m:r>
              <m:rPr>
                <m:sty m:val="p"/>
              </m:rPr>
              <w:rPr>
                <w:rFonts w:hint="eastAsia" w:ascii="Cambria Math" w:hAnsi="Cambria Math" w:cs="Times New Roman"/>
                <w:kern w:val="2"/>
                <w:sz w:val="28"/>
                <w:szCs w:val="28"/>
                <w:lang w:val="en-US" w:eastAsia="zh-CN" w:bidi="ar-SA"/>
              </w:rPr>
              <m:t>参考文本地n</m:t>
            </m:r>
            <m:r>
              <m:rPr>
                <m:sty m:val="p"/>
              </m:rPr>
              <w:rPr>
                <w:rFonts w:hint="default" w:ascii="Cambria Math" w:hAnsi="Cambria Math" w:cs="Times New Roman"/>
                <w:kern w:val="2"/>
                <w:sz w:val="28"/>
                <w:szCs w:val="28"/>
                <w:lang w:val="en-US" w:eastAsia="zh-CN" w:bidi="ar-SA"/>
              </w:rPr>
              <m:t>−</m:t>
            </m:r>
            <m:r>
              <m:rPr>
                <m:sty m:val="p"/>
              </m:rPr>
              <w:rPr>
                <w:rFonts w:hint="eastAsia" w:ascii="Cambria Math" w:hAnsi="Cambria Math" w:cs="Times New Roman"/>
                <w:kern w:val="2"/>
                <w:sz w:val="28"/>
                <w:szCs w:val="28"/>
                <w:lang w:val="en-US" w:eastAsia="zh-CN" w:bidi="ar-SA"/>
              </w:rPr>
              <m:t>gram总数</m:t>
            </m:r>
            <m:ctrlPr>
              <w:rPr>
                <w:rFonts w:hint="default" w:ascii="Cambria Math" w:hAnsi="Cambria Math" w:cs="Times New Roman"/>
                <w:kern w:val="2"/>
                <w:sz w:val="28"/>
                <w:szCs w:val="28"/>
                <w:lang w:val="en-US" w:eastAsia="zh-CN" w:bidi="ar-SA"/>
              </w:rPr>
            </m:ctrlPr>
          </m:den>
        </m:f>
      </m:oMath>
    </w:p>
    <w:p>
      <w:pPr>
        <w:pStyle w:val="11"/>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7</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ROUGE</m:t>
        </m:r>
        <m:r>
          <m:rPr>
            <m:sty m:val="p"/>
          </m:rPr>
          <w:rPr>
            <w:rFonts w:hint="default" w:ascii="Cambria Math" w:hAnsi="Cambria Math" w:cs="Times New Roman"/>
            <w:kern w:val="2"/>
            <w:sz w:val="28"/>
            <w:szCs w:val="28"/>
            <w:lang w:val="en-US" w:eastAsia="zh-CN" w:bidi="ar-SA"/>
          </w:rPr>
          <m:t xml:space="preserve">−L = </m:t>
        </m:r>
        <m:f>
          <m:fPr>
            <m:ctrlPr>
              <w:rPr>
                <w:rFonts w:hint="default" w:ascii="Cambria Math" w:hAnsi="Cambria Math" w:cs="Times New Roman"/>
                <w:kern w:val="2"/>
                <w:sz w:val="28"/>
                <w:szCs w:val="28"/>
                <w:lang w:val="en-US" w:eastAsia="zh-CN" w:bidi="ar-SA"/>
              </w:rPr>
            </m:ctrlPr>
          </m:fPr>
          <m:num>
            <m:r>
              <m:rPr>
                <m:sty m:val="p"/>
              </m:rPr>
              <w:rPr>
                <w:rFonts w:hint="eastAsia" w:ascii="Cambria Math" w:hAnsi="Cambria Math" w:cs="Times New Roman"/>
                <w:kern w:val="2"/>
                <w:sz w:val="28"/>
                <w:szCs w:val="28"/>
                <w:lang w:val="en-US" w:eastAsia="zh-CN" w:bidi="ar-SA"/>
              </w:rPr>
              <m:t>生成文本与参考文本的最长公共子序列长度</m:t>
            </m:r>
            <m:ctrlPr>
              <w:rPr>
                <w:rFonts w:hint="default" w:ascii="Cambria Math" w:hAnsi="Cambria Math" w:cs="Times New Roman"/>
                <w:kern w:val="2"/>
                <w:sz w:val="28"/>
                <w:szCs w:val="28"/>
                <w:lang w:val="en-US" w:eastAsia="zh-CN" w:bidi="ar-SA"/>
              </w:rPr>
            </m:ctrlPr>
          </m:num>
          <m:den>
            <m:r>
              <m:rPr>
                <m:sty m:val="p"/>
              </m:rPr>
              <w:rPr>
                <w:rFonts w:hint="eastAsia" w:ascii="Cambria Math" w:hAnsi="Cambria Math" w:cs="Times New Roman"/>
                <w:kern w:val="2"/>
                <w:sz w:val="28"/>
                <w:szCs w:val="28"/>
                <w:lang w:val="en-US" w:eastAsia="zh-CN" w:bidi="ar-SA"/>
              </w:rPr>
              <m:t>参考文本的字数</m:t>
            </m:r>
            <m:ctrlPr>
              <w:rPr>
                <w:rFonts w:hint="default" w:ascii="Cambria Math" w:hAnsi="Cambria Math" w:cs="Times New Roman"/>
                <w:kern w:val="2"/>
                <w:sz w:val="28"/>
                <w:szCs w:val="28"/>
                <w:lang w:val="en-US" w:eastAsia="zh-CN" w:bidi="ar-SA"/>
              </w:rPr>
            </m:ctrlPr>
          </m:den>
        </m:f>
      </m:oMath>
    </w:p>
    <w:p>
      <w:pPr>
        <w:pStyle w:val="11"/>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8</w:t>
      </w:r>
      <w:r>
        <w:fldChar w:fldCharType="end"/>
      </w:r>
      <w:r>
        <w:rPr>
          <w:rFonts w:hint="eastAsia"/>
          <w:lang w:eastAsia="zh-CN"/>
        </w:rPr>
        <w:t>：</w:t>
      </w:r>
      <m:oMath>
        <m:r>
          <m:rPr>
            <m:sty m:val="p"/>
          </m:rPr>
          <w:rPr>
            <w:rFonts w:hint="default" w:ascii="Cambria Math" w:hAnsi="Cambria Math" w:cs="Times New Roman"/>
            <w:kern w:val="2"/>
            <w:sz w:val="28"/>
            <w:szCs w:val="28"/>
            <w:lang w:val="en-US" w:eastAsia="zh-CN" w:bidi="ar-SA"/>
          </w:rPr>
          <m:t xml:space="preserve">ROUGE−W = </m:t>
        </m:r>
        <m:f>
          <m:fPr>
            <m:ctrlPr>
              <w:rPr>
                <w:rFonts w:hint="default" w:ascii="Cambria Math" w:hAnsi="Cambria Math" w:cs="Times New Roman"/>
                <w:kern w:val="2"/>
                <w:sz w:val="28"/>
                <w:szCs w:val="28"/>
                <w:lang w:val="en-US" w:eastAsia="zh-CN" w:bidi="ar-SA"/>
              </w:rPr>
            </m:ctrlPr>
          </m:fPr>
          <m:num>
            <m:nary>
              <m:naryPr>
                <m:chr m:val="∑"/>
                <m:limLoc m:val="undOvr"/>
                <m:subHide m:val="1"/>
                <m:supHide m:val="1"/>
                <m:ctrlPr>
                  <w:rPr>
                    <w:rFonts w:hint="default" w:ascii="Cambria Math" w:hAnsi="Cambria Math" w:cs="Times New Roman"/>
                    <w:kern w:val="2"/>
                    <w:sz w:val="28"/>
                    <w:szCs w:val="28"/>
                    <w:lang w:val="en-US" w:eastAsia="zh-CN" w:bidi="ar-SA"/>
                  </w:rPr>
                </m:ctrlPr>
              </m:naryPr>
              <m:sub>
                <m:ctrlPr>
                  <w:rPr>
                    <w:rFonts w:hint="default" w:ascii="Cambria Math" w:hAnsi="Cambria Math" w:cs="Times New Roman"/>
                    <w:kern w:val="2"/>
                    <w:sz w:val="28"/>
                    <w:szCs w:val="28"/>
                    <w:lang w:val="en-US" w:eastAsia="zh-CN" w:bidi="ar-SA"/>
                  </w:rPr>
                </m:ctrlPr>
              </m:sub>
              <m:sup>
                <m:ctrlPr>
                  <w:rPr>
                    <w:rFonts w:hint="default" w:ascii="Cambria Math" w:hAnsi="Cambria Math" w:cs="Times New Roman"/>
                    <w:kern w:val="2"/>
                    <w:sz w:val="28"/>
                    <w:szCs w:val="28"/>
                    <w:lang w:val="en-US" w:eastAsia="zh-CN" w:bidi="ar-SA"/>
                  </w:rPr>
                </m:ctrlPr>
              </m:sup>
              <m:e>
                <m:r>
                  <m:rPr>
                    <m:sty m:val="p"/>
                  </m:rPr>
                  <w:rPr>
                    <w:rFonts w:hint="default" w:ascii="Cambria Math" w:hAnsi="Cambria Math" w:cs="Times New Roman"/>
                    <w:kern w:val="2"/>
                    <w:sz w:val="28"/>
                    <w:szCs w:val="28"/>
                    <w:lang w:val="en-US" w:eastAsia="zh-CN" w:bidi="ar-SA"/>
                  </w:rPr>
                  <m:t>Weighted LCS</m:t>
                </m:r>
                <m:ctrlPr>
                  <w:rPr>
                    <w:rFonts w:hint="default" w:ascii="Cambria Math" w:hAnsi="Cambria Math" w:cs="Times New Roman"/>
                    <w:kern w:val="2"/>
                    <w:sz w:val="28"/>
                    <w:szCs w:val="28"/>
                    <w:lang w:val="en-US" w:eastAsia="zh-CN" w:bidi="ar-SA"/>
                  </w:rPr>
                </m:ctrlPr>
              </m:e>
            </m:nary>
            <m:ctrlPr>
              <w:rPr>
                <w:rFonts w:hint="default" w:ascii="Cambria Math" w:hAnsi="Cambria Math" w:cs="Times New Roman"/>
                <w:kern w:val="2"/>
                <w:sz w:val="28"/>
                <w:szCs w:val="28"/>
                <w:lang w:val="en-US" w:eastAsia="zh-CN" w:bidi="ar-SA"/>
              </w:rPr>
            </m:ctrlPr>
          </m:num>
          <m:den>
            <m:nary>
              <m:naryPr>
                <m:chr m:val="∑"/>
                <m:limLoc m:val="undOvr"/>
                <m:subHide m:val="1"/>
                <m:supHide m:val="1"/>
                <m:ctrlPr>
                  <w:rPr>
                    <w:rFonts w:hint="default" w:ascii="Cambria Math" w:hAnsi="Cambria Math" w:cs="Times New Roman"/>
                    <w:kern w:val="2"/>
                    <w:sz w:val="28"/>
                    <w:szCs w:val="28"/>
                    <w:lang w:val="en-US" w:eastAsia="zh-CN" w:bidi="ar-SA"/>
                  </w:rPr>
                </m:ctrlPr>
              </m:naryPr>
              <m:sub>
                <m:ctrlPr>
                  <w:rPr>
                    <w:rFonts w:hint="default" w:ascii="Cambria Math" w:hAnsi="Cambria Math" w:cs="Times New Roman"/>
                    <w:kern w:val="2"/>
                    <w:sz w:val="28"/>
                    <w:szCs w:val="28"/>
                    <w:lang w:val="en-US" w:eastAsia="zh-CN" w:bidi="ar-SA"/>
                  </w:rPr>
                </m:ctrlPr>
              </m:sub>
              <m:sup>
                <m:ctrlPr>
                  <w:rPr>
                    <w:rFonts w:hint="default" w:ascii="Cambria Math" w:hAnsi="Cambria Math" w:cs="Times New Roman"/>
                    <w:kern w:val="2"/>
                    <w:sz w:val="28"/>
                    <w:szCs w:val="28"/>
                    <w:lang w:val="en-US" w:eastAsia="zh-CN" w:bidi="ar-SA"/>
                  </w:rPr>
                </m:ctrlPr>
              </m:sup>
              <m:e>
                <m:r>
                  <m:rPr>
                    <m:sty m:val="p"/>
                  </m:rPr>
                  <w:rPr>
                    <w:rFonts w:hint="eastAsia" w:ascii="Cambria Math" w:hAnsi="Cambria Math" w:cs="Times New Roman"/>
                    <w:kern w:val="2"/>
                    <w:sz w:val="28"/>
                    <w:szCs w:val="28"/>
                    <w:lang w:val="en-US" w:eastAsia="zh-CN" w:bidi="ar-SA"/>
                  </w:rPr>
                  <m:t>W</m:t>
                </m:r>
                <m:r>
                  <m:rPr>
                    <m:sty m:val="p"/>
                  </m:rPr>
                  <w:rPr>
                    <w:rFonts w:hint="default" w:ascii="Cambria Math" w:hAnsi="Cambria Math" w:cs="Times New Roman"/>
                    <w:kern w:val="2"/>
                    <w:sz w:val="28"/>
                    <w:szCs w:val="28"/>
                    <w:lang w:val="en-US" w:eastAsia="zh-CN" w:bidi="ar-SA"/>
                  </w:rPr>
                  <m:t>eight of all words in reference</m:t>
                </m:r>
                <m:ctrlPr>
                  <w:rPr>
                    <w:rFonts w:hint="default" w:ascii="Cambria Math" w:hAnsi="Cambria Math" w:cs="Times New Roman"/>
                    <w:kern w:val="2"/>
                    <w:sz w:val="28"/>
                    <w:szCs w:val="28"/>
                    <w:lang w:val="en-US" w:eastAsia="zh-CN" w:bidi="ar-SA"/>
                  </w:rPr>
                </m:ctrlPr>
              </m:e>
            </m:nary>
            <m:ctrlPr>
              <w:rPr>
                <w:rFonts w:hint="default" w:ascii="Cambria Math" w:hAnsi="Cambria Math" w:cs="Times New Roman"/>
                <w:kern w:val="2"/>
                <w:sz w:val="28"/>
                <w:szCs w:val="28"/>
                <w:lang w:val="en-US" w:eastAsia="zh-CN" w:bidi="ar-SA"/>
              </w:rPr>
            </m:ctrlPr>
          </m:den>
        </m:f>
      </m:oMath>
    </w:p>
    <w:p>
      <w:pPr>
        <w:ind w:firstLine="420" w:firstLineChars="0"/>
        <w:rPr>
          <w:rFonts w:hint="default"/>
          <w:lang w:val="en-US" w:eastAsia="zh-CN"/>
        </w:rPr>
      </w:pPr>
      <w:r>
        <w:rPr>
          <w:rFonts w:hint="eastAsia"/>
          <w:lang w:val="en-US" w:eastAsia="zh-CN"/>
        </w:rPr>
        <w:t>精确匹配常在问答系统等任务中被使用。精确匹配指标计算简单，只需要比较生成文本与参考文本之间是否完全相同，若完全相同，才会给出满分，否则得分为0。精确匹配在一些要求精确匹配特定答案的情况下，比较适用。但是它也有一些限制，精确匹配只考虑答案文本是否完全一致，而不考虑答案的语义相似度或近似匹配的情况，这可能会忽略了部分正确但不完全一致的答案，造成大语言模型的训练效率偏低。</w:t>
      </w:r>
    </w:p>
    <w:p>
      <w:pPr>
        <w:pStyle w:val="4"/>
        <w:bidi w:val="0"/>
        <w:spacing w:before="57" w:beforeLines="0" w:beforeAutospacing="0" w:after="57" w:afterLines="0" w:afterAutospacing="0"/>
        <w:rPr>
          <w:rFonts w:hint="eastAsia"/>
          <w:sz w:val="30"/>
          <w:szCs w:val="30"/>
          <w:lang w:val="en-US" w:eastAsia="zh-CN"/>
        </w:rPr>
      </w:pPr>
      <w:bookmarkStart w:id="28" w:name="_Toc11376"/>
      <w:r>
        <w:rPr>
          <w:rFonts w:hint="eastAsia"/>
          <w:sz w:val="30"/>
          <w:szCs w:val="30"/>
          <w:lang w:val="en-US" w:eastAsia="zh-CN"/>
        </w:rPr>
        <w:t>余弦相似度匹配与SAS评估</w:t>
      </w:r>
      <w:bookmarkEnd w:id="28"/>
    </w:p>
    <w:p>
      <w:pPr>
        <w:ind w:firstLine="420" w:firstLineChars="0"/>
        <w:rPr>
          <w:rFonts w:hint="eastAsia"/>
          <w:lang w:val="en-US" w:eastAsia="zh-CN"/>
        </w:rPr>
      </w:pPr>
      <w:r>
        <w:rPr>
          <w:rFonts w:hint="eastAsia"/>
          <w:lang w:val="en-US" w:eastAsia="zh-CN"/>
        </w:rPr>
        <w:t>上文提到的评估指标，都是基于字符匹配来进行模型预测结果评估，但是中文文本的意思不仅局限于文本，而是还有着一层语义，因此两个不相同的文本，它们的语义可能相同，因而能表达出相同的意思。所以对于中文NLP任务中需要考虑语义相似度的预测评估，上文中提到的预测结果评估方法便不完全适用，因此本论文将提出能考虑语义相似度的评估指标——</w:t>
      </w:r>
      <w:r>
        <w:rPr>
          <w:rFonts w:hint="eastAsia"/>
          <w:sz w:val="30"/>
          <w:szCs w:val="30"/>
          <w:lang w:val="en-US" w:eastAsia="zh-CN"/>
        </w:rPr>
        <w:t>余弦相似度匹配</w:t>
      </w:r>
      <w:r>
        <w:rPr>
          <w:rFonts w:hint="eastAsia"/>
          <w:lang w:val="en-US" w:eastAsia="zh-CN"/>
        </w:rPr>
        <w:t>和SAS。</w:t>
      </w:r>
    </w:p>
    <w:p>
      <w:pPr>
        <w:ind w:firstLine="420" w:firstLineChars="0"/>
        <w:rPr>
          <w:rFonts w:hint="default" w:eastAsia="宋体"/>
          <w:lang w:val="en-US" w:eastAsia="zh-CN"/>
        </w:rPr>
      </w:pPr>
      <w:r>
        <w:rPr>
          <w:rFonts w:hint="eastAsia"/>
          <w:lang w:val="en-US" w:eastAsia="zh-CN"/>
        </w:rPr>
        <w:t>余弦相似度匹配，适用于各类如：信息检索、推荐系统、文本分类等文本相似度度量的任务，它能够很好的捕捉文本之间语义的相似性。其计算方式如公式9所示。其中，A、B表示两个文本的词向量（通常是词袋模型或者词嵌入模型生成的表示），“</w:t>
      </w:r>
      <m:oMath>
        <m:r>
          <m:rPr>
            <m:sty m:val="p"/>
          </m:rPr>
          <w:rPr>
            <w:rFonts w:ascii="Cambria Math" w:hAnsi="Cambria Math"/>
            <w:lang w:val="en-US"/>
          </w:rPr>
          <m:t>∙</m:t>
        </m:r>
      </m:oMath>
      <w:r>
        <w:rPr>
          <w:rFonts w:hint="eastAsia"/>
          <w:lang w:val="en-US" w:eastAsia="zh-CN"/>
        </w:rPr>
        <w:t>”表示向量的内积“</w:t>
      </w:r>
      <m:oMath>
        <m:r>
          <m:rPr>
            <m:sty m:val="p"/>
          </m:rPr>
          <w:rPr>
            <w:rFonts w:ascii="Cambria Math" w:hAnsi="Cambria Math" w:cs="Times New Roman"/>
            <w:kern w:val="2"/>
            <w:sz w:val="28"/>
            <w:szCs w:val="28"/>
            <w:lang w:val="en-US" w:bidi="ar-SA"/>
          </w:rPr>
          <m:t>∥</m:t>
        </m:r>
        <m:r>
          <m:rPr>
            <m:sty m:val="p"/>
          </m:rPr>
          <w:rPr>
            <w:rFonts w:hint="eastAsia" w:ascii="Cambria Math" w:hAnsi="Cambria Math" w:cs="Times New Roman"/>
            <w:kern w:val="2"/>
            <w:sz w:val="28"/>
            <w:szCs w:val="28"/>
            <w:lang w:val="en-US" w:eastAsia="zh-CN" w:bidi="ar-SA"/>
          </w:rPr>
          <m:t>A</m:t>
        </m:r>
        <m:r>
          <m:rPr>
            <m:sty m:val="p"/>
          </m:rPr>
          <w:rPr>
            <w:rFonts w:ascii="Cambria Math" w:hAnsi="Cambria Math" w:cs="Times New Roman"/>
            <w:kern w:val="2"/>
            <w:sz w:val="28"/>
            <w:szCs w:val="28"/>
            <w:lang w:val="en-US" w:bidi="ar-SA"/>
          </w:rPr>
          <m:t>∥</m:t>
        </m:r>
      </m:oMath>
      <w:r>
        <w:rPr>
          <w:rFonts w:hint="eastAsia"/>
          <w:lang w:val="en-US" w:eastAsia="zh-CN"/>
        </w:rPr>
        <w:t>”表示向量的模。</w:t>
      </w:r>
    </w:p>
    <w:p>
      <w:pPr>
        <w:pStyle w:val="11"/>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9</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similarity</m:t>
        </m:r>
        <m:r>
          <m:rPr>
            <m:sty m:val="p"/>
          </m:rPr>
          <w:rPr>
            <w:rFonts w:hint="default" w:ascii="Cambria Math" w:hAnsi="Cambria Math" w:cs="Times New Roman"/>
            <w:kern w:val="2"/>
            <w:sz w:val="28"/>
            <w:szCs w:val="28"/>
            <w:lang w:val="en-US" w:eastAsia="zh-CN" w:bidi="ar-SA"/>
          </w:rPr>
          <m:t xml:space="preserve">(A, B) = </m:t>
        </m:r>
        <m:f>
          <m:fPr>
            <m:ctrlPr>
              <w:rPr>
                <w:rFonts w:hint="default" w:ascii="Cambria Math" w:hAnsi="Cambria Math" w:cs="Times New Roman"/>
                <w:kern w:val="2"/>
                <w:sz w:val="28"/>
                <w:szCs w:val="28"/>
                <w:lang w:val="en-US" w:eastAsia="zh-CN" w:bidi="ar-SA"/>
              </w:rPr>
            </m:ctrlPr>
          </m:fPr>
          <m:num>
            <m:r>
              <m:rPr>
                <m:sty m:val="p"/>
              </m:rPr>
              <w:rPr>
                <w:rFonts w:hint="default" w:ascii="Cambria Math" w:hAnsi="Cambria Math" w:cs="Times New Roman"/>
                <w:kern w:val="2"/>
                <w:sz w:val="28"/>
                <w:szCs w:val="28"/>
                <w:lang w:val="en-US" w:eastAsia="zh-CN" w:bidi="ar-SA"/>
              </w:rPr>
              <m:t>A</m:t>
            </m:r>
            <m:r>
              <m:rPr>
                <m:sty m:val="p"/>
              </m:rPr>
              <w:rPr>
                <w:rFonts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B</m:t>
            </m:r>
            <m:ctrlPr>
              <w:rPr>
                <w:rFonts w:hint="default" w:ascii="Cambria Math" w:hAnsi="Cambria Math" w:cs="Times New Roman"/>
                <w:kern w:val="2"/>
                <w:sz w:val="28"/>
                <w:szCs w:val="28"/>
                <w:lang w:val="en-US" w:eastAsia="zh-CN" w:bidi="ar-SA"/>
              </w:rPr>
            </m:ctrlPr>
          </m:num>
          <m:den>
            <m:r>
              <m:rPr>
                <m:sty m:val="p"/>
              </m:rPr>
              <w:rPr>
                <w:rFonts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A</m:t>
            </m:r>
            <m:r>
              <m:rPr>
                <m:sty m:val="p"/>
              </m:rPr>
              <w:rPr>
                <w:rFonts w:ascii="Cambria Math" w:hAnsi="Cambria Math" w:cs="Times New Roman"/>
                <w:kern w:val="2"/>
                <w:sz w:val="28"/>
                <w:szCs w:val="28"/>
                <w:lang w:val="en-US" w:bidi="ar-SA"/>
              </w:rPr>
              <m:t>∥∙∥</m:t>
            </m:r>
            <m:r>
              <m:rPr>
                <m:sty m:val="p"/>
              </m:rPr>
              <w:rPr>
                <w:rFonts w:hint="eastAsia" w:ascii="Cambria Math" w:hAnsi="Cambria Math" w:cs="Times New Roman"/>
                <w:kern w:val="2"/>
                <w:sz w:val="28"/>
                <w:szCs w:val="28"/>
                <w:lang w:val="en-US" w:eastAsia="zh-CN" w:bidi="ar-SA"/>
              </w:rPr>
              <m:t>B</m:t>
            </m:r>
            <m:r>
              <m:rPr>
                <m:sty m:val="p"/>
              </m:rPr>
              <w:rPr>
                <w:rFonts w:ascii="Cambria Math" w:hAnsi="Cambria Math" w:cs="Times New Roman"/>
                <w:kern w:val="2"/>
                <w:sz w:val="28"/>
                <w:szCs w:val="28"/>
                <w:lang w:val="en-US" w:bidi="ar-SA"/>
              </w:rPr>
              <m:t>∥</m:t>
            </m:r>
            <m:ctrlPr>
              <w:rPr>
                <w:rFonts w:hint="default" w:ascii="Cambria Math" w:hAnsi="Cambria Math" w:cs="Times New Roman"/>
                <w:kern w:val="2"/>
                <w:sz w:val="28"/>
                <w:szCs w:val="28"/>
                <w:lang w:val="en-US" w:eastAsia="zh-CN" w:bidi="ar-SA"/>
              </w:rPr>
            </m:ctrlPr>
          </m:den>
        </m:f>
      </m:oMath>
    </w:p>
    <w:p>
      <w:pPr>
        <w:ind w:firstLine="420" w:firstLineChars="0"/>
        <w:rPr>
          <w:rFonts w:hint="eastAsia" w:hAnsi="Cambria Math" w:cs="Times New Roman"/>
          <w:i w:val="0"/>
          <w:kern w:val="2"/>
          <w:sz w:val="28"/>
          <w:szCs w:val="28"/>
          <w:lang w:val="en-US" w:eastAsia="zh-CN" w:bidi="ar-SA"/>
        </w:rPr>
      </w:pPr>
      <w:r>
        <w:rPr>
          <w:rFonts w:hint="eastAsia" w:hAnsi="Cambria Math" w:cs="Times New Roman"/>
          <w:i w:val="0"/>
          <w:kern w:val="2"/>
          <w:sz w:val="28"/>
          <w:szCs w:val="28"/>
          <w:lang w:val="en-US" w:eastAsia="zh-CN" w:bidi="ar-SA"/>
        </w:rPr>
        <w:t>语义答案相似性（SAS）评估指标，旨在解决传统评估指标的局限性。如精确匹配（EM）和F1分数，这些传统主要关注于问答（QA）模型中的词汇相似性，而SAS比较生成文本和预测答案的语义相似性。这种方法可以更准确地评估模型地实际性能，特别是在生成文本有相同意义但表述不同地情况下。SAS的计算过程如图8所示。其中文本输入和预处理是将两个文本进行如分词、去除停用词等预处理；文本合并，是将处理后的两个文本通过一个特殊的分隔符连接起来，通过特殊符号来告诉模型这两部分文本是不同的输入；跨编码器模型，是用以处理输入的文本，理解它们之间的语义联系，其中跨编码器模型通常基于BERT或其他Transformer架构；语义相似度评分，是模型对这两段输入文本的语义相似度进行评分，得分通常是0到1之间，分数越高，表示语义相似度越高。</w:t>
      </w:r>
    </w:p>
    <w:p>
      <w:pPr>
        <w:ind w:firstLine="420" w:firstLineChars="0"/>
        <w:jc w:val="center"/>
        <w:rPr>
          <w:rFonts w:hint="default" w:hAnsi="Cambria Math" w:cs="Times New Roman"/>
          <w:i w:val="0"/>
          <w:kern w:val="2"/>
          <w:sz w:val="28"/>
          <w:szCs w:val="28"/>
          <w:lang w:val="en-US" w:eastAsia="zh-CN" w:bidi="ar-SA"/>
        </w:rPr>
      </w:pPr>
      <w:r>
        <w:rPr>
          <w:rFonts w:hint="default" w:hAnsi="Cambria Math" w:cs="Times New Roman"/>
          <w:i w:val="0"/>
          <w:kern w:val="2"/>
          <w:sz w:val="28"/>
          <w:szCs w:val="28"/>
          <w:lang w:val="en-US" w:eastAsia="zh-CN" w:bidi="ar-SA"/>
        </w:rPr>
        <w:drawing>
          <wp:inline distT="0" distB="0" distL="114300" distR="114300">
            <wp:extent cx="2305050" cy="3886200"/>
            <wp:effectExtent l="0" t="0" r="0" b="0"/>
            <wp:docPr id="8" name="图片 8" descr="SAS评估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AS评估流程"/>
                    <pic:cNvPicPr>
                      <a:picLocks noChangeAspect="1"/>
                    </pic:cNvPicPr>
                  </pic:nvPicPr>
                  <pic:blipFill>
                    <a:blip r:embed="rId12"/>
                    <a:stretch>
                      <a:fillRect/>
                    </a:stretch>
                  </pic:blipFill>
                  <pic:spPr>
                    <a:xfrm>
                      <a:off x="0" y="0"/>
                      <a:ext cx="2305050" cy="3886200"/>
                    </a:xfrm>
                    <a:prstGeom prst="rect">
                      <a:avLst/>
                    </a:prstGeom>
                  </pic:spPr>
                </pic:pic>
              </a:graphicData>
            </a:graphic>
          </wp:inline>
        </w:drawing>
      </w:r>
    </w:p>
    <w:p>
      <w:pPr>
        <w:pStyle w:val="11"/>
        <w:ind w:firstLine="420" w:firstLineChars="0"/>
        <w:jc w:val="center"/>
        <w:rPr>
          <w:rFonts w:hint="eastAsia"/>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SAS评估流程</w:t>
      </w:r>
    </w:p>
    <w:p>
      <w:pPr>
        <w:pStyle w:val="3"/>
        <w:bidi w:val="0"/>
        <w:rPr>
          <w:rFonts w:hint="eastAsia"/>
          <w:lang w:val="en-US" w:eastAsia="zh-CN"/>
        </w:rPr>
      </w:pPr>
      <w:bookmarkStart w:id="29" w:name="_Toc30124"/>
      <w:r>
        <w:rPr>
          <w:rFonts w:hint="eastAsia"/>
          <w:lang w:val="en-US" w:eastAsia="zh-CN"/>
        </w:rPr>
        <w:t>预测结果评估方案设计</w:t>
      </w:r>
      <w:bookmarkEnd w:id="29"/>
    </w:p>
    <w:p>
      <w:pPr>
        <w:ind w:firstLine="420" w:firstLineChars="0"/>
        <w:rPr>
          <w:rFonts w:hint="eastAsia"/>
          <w:lang w:val="en-US" w:eastAsia="zh-CN"/>
        </w:rPr>
      </w:pPr>
      <w:r>
        <w:rPr>
          <w:rFonts w:hint="eastAsia"/>
          <w:lang w:val="en-US" w:eastAsia="zh-CN"/>
        </w:rPr>
        <w:t>经过上文对预测结果评估指标的概述，我们可以知道在NLP领域，对模型预测结果的评估大致分为基于文本比对的评估指标和对文本语义相似度进行评估的指标。对于评估方案的设计，应将具体的任务和数据的类型纳入考量范围。本文的数据集设计是用于LLM化学领域的预训练和微调，旨在经过训练，能够完成对LLM在化学领域的垂直应用开发。而化学领域的一些问答，可能会存在表述不同但意思相同的情况，因此预测结果评估指标应将语义相似度纳入考量范围。但倘若只考虑语义相似度会发生什么情况呢？</w:t>
      </w:r>
      <w:r>
        <w:rPr>
          <w:rFonts w:hint="eastAsia"/>
          <w:highlight w:val="none"/>
          <w:lang w:val="en-US" w:eastAsia="zh-CN"/>
        </w:rPr>
        <w:t>图9</w:t>
      </w:r>
      <w:r>
        <w:rPr>
          <w:rFonts w:hint="eastAsia"/>
          <w:lang w:val="en-US" w:eastAsia="zh-CN"/>
        </w:rPr>
        <w:t>展示的结果为SAS和余弦相似度评估，在对两个文本长度相差过大时的评估结果。（其中SAS评估所用的跨编码器模型为Huggingface.co上公开的编码器模型，语义相似度评估所用的词向量嵌入模型也为Huggingface.co上公开的模型。）其中sentence1为参考文本，sentence2为人为删减的生成文本，目的是为了检验在文本长度差异过大时，评测指标的评估效果如何。</w:t>
      </w:r>
    </w:p>
    <w:p>
      <w:pPr>
        <w:jc w:val="center"/>
        <w:rPr>
          <w:rFonts w:hint="default"/>
          <w:lang w:val="en-US" w:eastAsia="zh-CN"/>
        </w:rPr>
      </w:pPr>
      <w:r>
        <w:rPr>
          <w:rFonts w:hint="default"/>
          <w:lang w:val="en-US" w:eastAsia="zh-CN"/>
        </w:rPr>
        <w:drawing>
          <wp:inline distT="0" distB="0" distL="114300" distR="114300">
            <wp:extent cx="5270500" cy="1671320"/>
            <wp:effectExtent l="0" t="0" r="2540" b="5080"/>
            <wp:docPr id="7" name="图片 7" descr="SAS和余弦相似度在文本长度相差过大情况下的评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AS和余弦相似度在文本长度相差过大情况下的评估"/>
                    <pic:cNvPicPr>
                      <a:picLocks noChangeAspect="1"/>
                    </pic:cNvPicPr>
                  </pic:nvPicPr>
                  <pic:blipFill>
                    <a:blip r:embed="rId13"/>
                    <a:stretch>
                      <a:fillRect/>
                    </a:stretch>
                  </pic:blipFill>
                  <pic:spPr>
                    <a:xfrm>
                      <a:off x="0" y="0"/>
                      <a:ext cx="5270500" cy="1671320"/>
                    </a:xfrm>
                    <a:prstGeom prst="rect">
                      <a:avLst/>
                    </a:prstGeom>
                  </pic:spPr>
                </pic:pic>
              </a:graphicData>
            </a:graphic>
          </wp:inline>
        </w:drawing>
      </w:r>
    </w:p>
    <w:p>
      <w:pPr>
        <w:pStyle w:val="11"/>
        <w:jc w:val="center"/>
        <w:rPr>
          <w:rFonts w:hint="default"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SAS</w:t>
      </w:r>
      <w:r>
        <w:rPr>
          <w:rFonts w:hint="eastAsia"/>
          <w:lang w:val="en-US" w:eastAsia="zh-CN"/>
        </w:rPr>
        <w:t>和余弦相似度对于长短差距过大的文本评估结果</w:t>
      </w:r>
    </w:p>
    <w:p>
      <w:pPr>
        <w:jc w:val="center"/>
        <w:rPr>
          <w:rFonts w:hint="default"/>
          <w:lang w:val="en-US" w:eastAsia="zh-CN"/>
        </w:rPr>
      </w:pPr>
      <w:r>
        <w:rPr>
          <w:rFonts w:hint="default"/>
          <w:lang w:val="en-US" w:eastAsia="zh-CN"/>
        </w:rPr>
        <w:drawing>
          <wp:inline distT="0" distB="0" distL="114300" distR="114300">
            <wp:extent cx="5271770" cy="1918335"/>
            <wp:effectExtent l="0" t="0" r="1270" b="1905"/>
            <wp:docPr id="9" name="图片 9" descr="ROUGE和BLEU在文本长度相差过大情况下的评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OUGE和BLEU在文本长度相差过大情况下的评估"/>
                    <pic:cNvPicPr>
                      <a:picLocks noChangeAspect="1"/>
                    </pic:cNvPicPr>
                  </pic:nvPicPr>
                  <pic:blipFill>
                    <a:blip r:embed="rId14"/>
                    <a:stretch>
                      <a:fillRect/>
                    </a:stretch>
                  </pic:blipFill>
                  <pic:spPr>
                    <a:xfrm>
                      <a:off x="0" y="0"/>
                      <a:ext cx="5271770" cy="1918335"/>
                    </a:xfrm>
                    <a:prstGeom prst="rect">
                      <a:avLst/>
                    </a:prstGeom>
                  </pic:spPr>
                </pic:pic>
              </a:graphicData>
            </a:graphic>
          </wp:inline>
        </w:drawing>
      </w:r>
    </w:p>
    <w:p>
      <w:pPr>
        <w:pStyle w:val="11"/>
        <w:jc w:val="center"/>
        <w:rPr>
          <w:rFonts w:hint="eastAsia" w:eastAsia="宋体"/>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ROUGE和BLEU</w:t>
      </w:r>
      <w:r>
        <w:rPr>
          <w:rFonts w:hint="eastAsia"/>
          <w:lang w:val="en-US" w:eastAsia="zh-CN"/>
        </w:rPr>
        <w:t>对于长短差距过大的文本评估结果</w:t>
      </w:r>
    </w:p>
    <w:p>
      <w:pPr>
        <w:ind w:firstLine="420" w:firstLineChars="0"/>
        <w:rPr>
          <w:rFonts w:hint="default"/>
          <w:lang w:val="en-US" w:eastAsia="zh-CN"/>
        </w:rPr>
      </w:pPr>
      <w:r>
        <w:rPr>
          <w:rFonts w:hint="eastAsia"/>
          <w:lang w:val="en-US" w:eastAsia="zh-CN"/>
        </w:rPr>
        <w:t>从结果可以看出，对于生成文本与参考文本长度差异较大时，SAS和余弦相似度的评估效果反而不理想，因此若只将语义相似度当作唯一的评估指标，反而会不利于模型对参考文本的学习。相比之下，BLEU和ROUGE这两种基于文本匹配的指标在处理长短差异过大的时的效果反而更好，如</w:t>
      </w:r>
      <w:r>
        <w:rPr>
          <w:rFonts w:hint="eastAsia"/>
          <w:highlight w:val="none"/>
          <w:lang w:val="en-US" w:eastAsia="zh-CN"/>
        </w:rPr>
        <w:t>图10</w:t>
      </w:r>
      <w:r>
        <w:rPr>
          <w:rFonts w:hint="eastAsia"/>
          <w:lang w:val="en-US" w:eastAsia="zh-CN"/>
        </w:rPr>
        <w:t>所示，其中r代表召回率，p代表精确率，f代表F1分数。</w:t>
      </w:r>
    </w:p>
    <w:p>
      <w:pPr>
        <w:ind w:firstLine="420" w:firstLineChars="0"/>
        <w:rPr>
          <w:rFonts w:hint="eastAsia"/>
          <w:lang w:val="en-US" w:eastAsia="zh-CN"/>
        </w:rPr>
      </w:pPr>
      <w:r>
        <w:rPr>
          <w:rFonts w:hint="eastAsia"/>
          <w:lang w:val="en-US" w:eastAsia="zh-CN"/>
        </w:rPr>
        <w:t>因此对于以本文所建立的数据集来进行LLM的预训练和微调，预测结果的评估方案应该将语义相似度和文本比较均纳入考量，其中为了找出较优的方案，本文举例出了4个方案，如下：</w:t>
      </w:r>
    </w:p>
    <w:p>
      <w:pPr>
        <w:numPr>
          <w:ilvl w:val="0"/>
          <w:numId w:val="3"/>
        </w:numPr>
        <w:ind w:left="420" w:leftChars="0" w:firstLine="420" w:firstLineChars="0"/>
        <w:rPr>
          <w:rFonts w:hint="default"/>
          <w:highlight w:val="none"/>
          <w:lang w:val="en-US" w:eastAsia="zh-CN"/>
        </w:rPr>
      </w:pPr>
      <w:r>
        <w:rPr>
          <w:rFonts w:hint="eastAsia"/>
          <w:highlight w:val="none"/>
          <w:lang w:val="en-US" w:eastAsia="zh-CN"/>
        </w:rPr>
        <w:t>单独采用ROUGE标作为评估标准。</w:t>
      </w:r>
    </w:p>
    <w:p>
      <w:pPr>
        <w:numPr>
          <w:ilvl w:val="0"/>
          <w:numId w:val="3"/>
        </w:numPr>
        <w:ind w:left="420" w:leftChars="0" w:firstLine="420" w:firstLineChars="0"/>
        <w:rPr>
          <w:rFonts w:hint="default"/>
          <w:highlight w:val="none"/>
          <w:lang w:val="en-US" w:eastAsia="zh-CN"/>
        </w:rPr>
      </w:pPr>
      <w:r>
        <w:rPr>
          <w:rFonts w:hint="eastAsia"/>
          <w:highlight w:val="none"/>
          <w:lang w:val="en-US" w:eastAsia="zh-CN"/>
        </w:rPr>
        <w:t>单独采用BLEU指标作为评估标准。</w:t>
      </w:r>
    </w:p>
    <w:p>
      <w:pPr>
        <w:numPr>
          <w:ilvl w:val="0"/>
          <w:numId w:val="3"/>
        </w:numPr>
        <w:ind w:left="420" w:leftChars="0" w:firstLine="420" w:firstLineChars="0"/>
        <w:rPr>
          <w:rFonts w:hint="default"/>
          <w:highlight w:val="none"/>
          <w:lang w:val="en-US" w:eastAsia="zh-CN"/>
        </w:rPr>
      </w:pPr>
      <w:r>
        <w:rPr>
          <w:rFonts w:hint="eastAsia"/>
          <w:highlight w:val="none"/>
          <w:lang w:val="en-US" w:eastAsia="zh-CN"/>
        </w:rPr>
        <w:t>分别单独采用SAS和余弦相似度计算，作为评估标准。</w:t>
      </w:r>
    </w:p>
    <w:p>
      <w:pPr>
        <w:numPr>
          <w:ilvl w:val="0"/>
          <w:numId w:val="3"/>
        </w:numPr>
        <w:ind w:left="420" w:leftChars="0" w:firstLine="420" w:firstLineChars="0"/>
        <w:rPr>
          <w:rFonts w:hint="default"/>
          <w:highlight w:val="none"/>
          <w:lang w:val="en-US" w:eastAsia="zh-CN"/>
        </w:rPr>
      </w:pPr>
      <w:r>
        <w:rPr>
          <w:rFonts w:hint="eastAsia"/>
          <w:highlight w:val="none"/>
          <w:lang w:val="en-US" w:eastAsia="zh-CN"/>
        </w:rPr>
        <w:t>采用BLEU分别和SAS、余弦相似度组合，作为评估标准，</w:t>
      </w:r>
      <w:r>
        <w:rPr>
          <w:rFonts w:hint="eastAsia"/>
          <w:highlight w:val="none"/>
          <w:lang w:val="en-US" w:eastAsia="zh-CN"/>
        </w:rPr>
        <w:tab/>
      </w:r>
      <w:r>
        <w:rPr>
          <w:rFonts w:hint="eastAsia"/>
          <w:highlight w:val="none"/>
          <w:lang w:val="en-US" w:eastAsia="zh-CN"/>
        </w:rPr>
        <w:t>其中因为BLEU引入了短文惩罚机制，因此其评分占比因素应</w:t>
      </w:r>
      <w:r>
        <w:rPr>
          <w:rFonts w:hint="eastAsia"/>
          <w:highlight w:val="none"/>
          <w:lang w:val="en-US" w:eastAsia="zh-CN"/>
        </w:rPr>
        <w:tab/>
      </w:r>
      <w:r>
        <w:rPr>
          <w:rFonts w:hint="eastAsia"/>
          <w:highlight w:val="none"/>
          <w:lang w:val="en-US" w:eastAsia="zh-CN"/>
        </w:rPr>
        <w:t>当考虑分生成文本长短的情况。在生成文本长度与参考文本长</w:t>
      </w:r>
      <w:r>
        <w:rPr>
          <w:rFonts w:hint="eastAsia"/>
          <w:highlight w:val="none"/>
          <w:lang w:val="en-US" w:eastAsia="zh-CN"/>
        </w:rPr>
        <w:tab/>
      </w:r>
      <w:r>
        <w:rPr>
          <w:rFonts w:hint="eastAsia"/>
          <w:highlight w:val="none"/>
          <w:lang w:val="en-US" w:eastAsia="zh-CN"/>
        </w:rPr>
        <w:t>度的差值，大于参考文本长度的三分之一时，BLEU评估的占</w:t>
      </w:r>
      <w:r>
        <w:rPr>
          <w:rFonts w:hint="eastAsia"/>
          <w:highlight w:val="none"/>
          <w:lang w:val="en-US" w:eastAsia="zh-CN"/>
        </w:rPr>
        <w:tab/>
      </w:r>
      <w:r>
        <w:rPr>
          <w:rFonts w:hint="eastAsia"/>
          <w:highlight w:val="none"/>
          <w:lang w:val="en-US" w:eastAsia="zh-CN"/>
        </w:rPr>
        <w:t>比为70%；小于等于三分之一时，BLEU的评估占比为30%。</w:t>
      </w:r>
    </w:p>
    <w:p>
      <w:pPr>
        <w:widowControl w:val="0"/>
        <w:numPr>
          <w:ilvl w:val="0"/>
          <w:numId w:val="0"/>
        </w:numPr>
        <w:ind w:firstLine="420" w:firstLineChars="0"/>
        <w:jc w:val="both"/>
        <w:rPr>
          <w:rFonts w:hint="default"/>
          <w:lang w:val="en-US" w:eastAsia="zh-CN"/>
        </w:rPr>
      </w:pPr>
      <w:r>
        <w:rPr>
          <w:rFonts w:hint="eastAsia"/>
          <w:lang w:val="en-US" w:eastAsia="zh-CN"/>
        </w:rPr>
        <w:t>对于预测结果的评估方式，需要结合多种评估指标一起考虑，因此需要做大量的实验来检验评估方案是否合理，本文列举出如上4个方案，意在对各评估指标的效果进行比对，最优的方案并不局限于上述4个方案之中。</w:t>
      </w:r>
    </w:p>
    <w:p>
      <w:pPr>
        <w:pStyle w:val="3"/>
        <w:bidi w:val="0"/>
        <w:rPr>
          <w:rFonts w:hint="eastAsia"/>
          <w:lang w:val="en-US" w:eastAsia="zh-CN"/>
        </w:rPr>
      </w:pPr>
      <w:bookmarkStart w:id="30" w:name="_Toc11535"/>
      <w:r>
        <w:rPr>
          <w:rFonts w:hint="eastAsia"/>
          <w:lang w:val="en-US" w:eastAsia="zh-CN"/>
        </w:rPr>
        <w:t>多种评估方案与人工评估的对比</w:t>
      </w:r>
      <w:bookmarkEnd w:id="30"/>
    </w:p>
    <w:p>
      <w:pPr>
        <w:ind w:firstLine="420" w:firstLineChars="0"/>
        <w:rPr>
          <w:rFonts w:hint="eastAsia" w:ascii="Times New Roman" w:hAnsi="Times New Roman" w:cs="Times New Roman"/>
          <w:kern w:val="2"/>
          <w:sz w:val="28"/>
          <w:szCs w:val="28"/>
          <w:lang w:val="en-US" w:eastAsia="zh-CN" w:bidi="ar-SA"/>
        </w:rPr>
      </w:pPr>
      <w:r>
        <w:rPr>
          <w:rFonts w:hint="eastAsia"/>
          <w:lang w:val="en-US" w:eastAsia="zh-CN"/>
        </w:rPr>
        <w:t>为了实现上述评估方案，本文采取随机抽样的方式，从QA数据集中，每个类别下各抽取一个QA对，共100对，来作为实验数据。预测答案来源于文心一言，其中为了展现过短的生成文本再上述各评测方案中的评估效果如何，部分文心一言的回答被限制在了50字左右。</w:t>
      </w:r>
      <w:r>
        <w:rPr>
          <w:rFonts w:hint="eastAsia" w:ascii="Times New Roman" w:hAnsi="Times New Roman" w:eastAsia="宋体" w:cs="Times New Roman"/>
          <w:kern w:val="2"/>
          <w:sz w:val="28"/>
          <w:szCs w:val="28"/>
          <w:lang w:val="en-US" w:eastAsia="zh-CN" w:bidi="ar-SA"/>
        </w:rPr>
        <w:t>其中ROUGE和BLEU的评估系统，均调用自python中的第三方轮子。余弦相似度计算所需的词嵌入模型，调用自huggingface.co中开源的中文Sentence-BERT模型</w:t>
      </w:r>
      <w:r>
        <w:rPr>
          <w:rFonts w:hint="eastAsia" w:ascii="Times New Roman" w:hAnsi="Times New Roman" w:cs="Times New Roman"/>
          <w:kern w:val="2"/>
          <w:sz w:val="28"/>
          <w:szCs w:val="28"/>
          <w:lang w:val="en-US" w:eastAsia="zh-CN" w:bidi="ar-SA"/>
        </w:rPr>
        <w:t>。SAS评估所需的跨编码器模型调用子huggingface.co中</w:t>
      </w:r>
      <w:r>
        <w:rPr>
          <w:rFonts w:hint="eastAsia" w:cs="Times New Roman"/>
          <w:kern w:val="2"/>
          <w:sz w:val="28"/>
          <w:szCs w:val="28"/>
          <w:lang w:val="en-US" w:eastAsia="zh-CN" w:bidi="ar-SA"/>
        </w:rPr>
        <w:t>的</w:t>
      </w:r>
      <w:r>
        <w:rPr>
          <w:rFonts w:hint="eastAsia" w:ascii="Times New Roman" w:hAnsi="Times New Roman" w:cs="Times New Roman"/>
          <w:kern w:val="2"/>
          <w:sz w:val="28"/>
          <w:szCs w:val="28"/>
          <w:lang w:val="en-US" w:eastAsia="zh-CN" w:bidi="ar-SA"/>
        </w:rPr>
        <w:t>“sentence-transformers/paraphrase-</w:t>
      </w:r>
      <w:r>
        <w:rPr>
          <w:rFonts w:hint="eastAsia" w:cs="Times New Roman"/>
          <w:kern w:val="2"/>
          <w:sz w:val="28"/>
          <w:szCs w:val="28"/>
          <w:lang w:val="en-US" w:eastAsia="zh-CN" w:bidi="ar-SA"/>
        </w:rPr>
        <w:t xml:space="preserve"> </w:t>
      </w:r>
      <w:r>
        <w:rPr>
          <w:rFonts w:hint="eastAsia" w:ascii="Times New Roman" w:hAnsi="Times New Roman" w:cs="Times New Roman"/>
          <w:kern w:val="2"/>
          <w:sz w:val="28"/>
          <w:szCs w:val="28"/>
          <w:lang w:val="en-US" w:eastAsia="zh-CN" w:bidi="ar-SA"/>
        </w:rPr>
        <w:t>xlm-r-multilingual-v1”开源模型。</w:t>
      </w:r>
    </w:p>
    <w:p>
      <w:pPr>
        <w:pStyle w:val="4"/>
        <w:bidi w:val="0"/>
        <w:spacing w:before="57" w:beforeLines="0" w:beforeAutospacing="0" w:after="57" w:afterLines="0" w:afterAutospacing="0"/>
        <w:rPr>
          <w:rFonts w:hint="default"/>
          <w:sz w:val="30"/>
          <w:szCs w:val="30"/>
          <w:lang w:val="en-US" w:eastAsia="zh-CN"/>
        </w:rPr>
      </w:pPr>
      <w:bookmarkStart w:id="31" w:name="_Toc14295"/>
      <w:r>
        <w:rPr>
          <w:rFonts w:hint="eastAsia"/>
          <w:sz w:val="30"/>
          <w:szCs w:val="30"/>
          <w:lang w:val="en-US" w:eastAsia="zh-CN"/>
        </w:rPr>
        <w:t>各评估方案的评估结果以及分析</w:t>
      </w:r>
      <w:bookmarkEnd w:id="31"/>
    </w:p>
    <w:p>
      <w:pPr>
        <w:ind w:firstLine="420" w:firstLineChars="0"/>
        <w:rPr>
          <w:rFonts w:hint="default"/>
          <w:lang w:val="en-US" w:eastAsia="zh-CN"/>
        </w:rPr>
      </w:pPr>
      <w:r>
        <w:rPr>
          <w:rFonts w:hint="eastAsia"/>
          <w:lang w:val="en-US" w:eastAsia="zh-CN"/>
        </w:rPr>
        <w:t>方案一的评估结果如图11-13所示，方案二的评估结果如图14所示，方案三的评估结果如图15-16所示，方案四的评估结果如图17-18所示。</w:t>
      </w:r>
    </w:p>
    <w:p>
      <w:pPr>
        <w:ind w:firstLine="420" w:firstLineChars="0"/>
        <w:jc w:val="center"/>
      </w:pPr>
      <w:r>
        <w:drawing>
          <wp:inline distT="0" distB="0" distL="114300" distR="114300">
            <wp:extent cx="4598035" cy="394843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rcRect l="12801" b="161"/>
                    <a:stretch>
                      <a:fillRect/>
                    </a:stretch>
                  </pic:blipFill>
                  <pic:spPr>
                    <a:xfrm>
                      <a:off x="0" y="0"/>
                      <a:ext cx="4598035" cy="3948430"/>
                    </a:xfrm>
                    <a:prstGeom prst="rect">
                      <a:avLst/>
                    </a:prstGeom>
                    <a:noFill/>
                    <a:ln>
                      <a:noFill/>
                    </a:ln>
                  </pic:spPr>
                </pic:pic>
              </a:graphicData>
            </a:graphic>
          </wp:inline>
        </w:drawing>
      </w:r>
    </w:p>
    <w:p>
      <w:pPr>
        <w:pStyle w:val="11"/>
        <w:ind w:firstLine="420" w:firstLineChars="0"/>
        <w:jc w:val="center"/>
        <w:rPr>
          <w:rFonts w:hint="eastAsia" w:eastAsia="宋体"/>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ROUGE-1 评分结果分布图</w:t>
      </w:r>
    </w:p>
    <w:p>
      <w:pPr>
        <w:ind w:firstLine="420" w:firstLineChars="0"/>
      </w:pPr>
    </w:p>
    <w:p>
      <w:pPr>
        <w:ind w:firstLine="420" w:firstLineChars="0"/>
        <w:jc w:val="center"/>
      </w:pPr>
      <w:r>
        <w:drawing>
          <wp:inline distT="0" distB="0" distL="114300" distR="114300">
            <wp:extent cx="4712335" cy="3973195"/>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rcRect l="10633" b="-466"/>
                    <a:stretch>
                      <a:fillRect/>
                    </a:stretch>
                  </pic:blipFill>
                  <pic:spPr>
                    <a:xfrm>
                      <a:off x="0" y="0"/>
                      <a:ext cx="4712335" cy="3973195"/>
                    </a:xfrm>
                    <a:prstGeom prst="rect">
                      <a:avLst/>
                    </a:prstGeom>
                    <a:noFill/>
                    <a:ln>
                      <a:noFill/>
                    </a:ln>
                  </pic:spPr>
                </pic:pic>
              </a:graphicData>
            </a:graphic>
          </wp:inline>
        </w:drawing>
      </w:r>
    </w:p>
    <w:p>
      <w:pPr>
        <w:pStyle w:val="11"/>
        <w:ind w:firstLine="420" w:firstLineChars="0"/>
        <w:jc w:val="center"/>
        <w:rPr>
          <w:rFonts w:hint="eastAsia" w:eastAsia="宋体"/>
          <w:lang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ROUGE-2 评分结果分布图</w:t>
      </w:r>
    </w:p>
    <w:p>
      <w:pPr>
        <w:ind w:firstLine="420" w:firstLineChars="0"/>
        <w:jc w:val="center"/>
      </w:pPr>
      <w:r>
        <w:drawing>
          <wp:inline distT="0" distB="0" distL="114300" distR="114300">
            <wp:extent cx="4928870" cy="3954145"/>
            <wp:effectExtent l="0" t="0" r="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rcRect l="6527" b="16"/>
                    <a:stretch>
                      <a:fillRect/>
                    </a:stretch>
                  </pic:blipFill>
                  <pic:spPr>
                    <a:xfrm>
                      <a:off x="0" y="0"/>
                      <a:ext cx="4928870" cy="3954145"/>
                    </a:xfrm>
                    <a:prstGeom prst="rect">
                      <a:avLst/>
                    </a:prstGeom>
                    <a:noFill/>
                    <a:ln>
                      <a:noFill/>
                    </a:ln>
                  </pic:spPr>
                </pic:pic>
              </a:graphicData>
            </a:graphic>
          </wp:inline>
        </w:drawing>
      </w:r>
    </w:p>
    <w:p>
      <w:pPr>
        <w:pStyle w:val="11"/>
        <w:ind w:firstLine="420" w:firstLineChars="0"/>
        <w:jc w:val="center"/>
        <w:rPr>
          <w:rFonts w:hint="eastAsia" w:eastAsia="宋体"/>
          <w:lang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ROUGE-L 评分结果分布图</w:t>
      </w:r>
    </w:p>
    <w:p>
      <w:pPr>
        <w:jc w:val="center"/>
      </w:pPr>
      <w:r>
        <w:drawing>
          <wp:inline distT="0" distB="0" distL="114300" distR="114300">
            <wp:extent cx="4215765" cy="4215765"/>
            <wp:effectExtent l="0" t="0" r="5715" b="571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8"/>
                    <a:stretch>
                      <a:fillRect/>
                    </a:stretch>
                  </pic:blipFill>
                  <pic:spPr>
                    <a:xfrm>
                      <a:off x="0" y="0"/>
                      <a:ext cx="4215765" cy="4215765"/>
                    </a:xfrm>
                    <a:prstGeom prst="rect">
                      <a:avLst/>
                    </a:prstGeom>
                    <a:noFill/>
                    <a:ln>
                      <a:noFill/>
                    </a:ln>
                  </pic:spPr>
                </pic:pic>
              </a:graphicData>
            </a:graphic>
          </wp:inline>
        </w:drawing>
      </w:r>
    </w:p>
    <w:p>
      <w:pPr>
        <w:pStyle w:val="11"/>
        <w:jc w:val="center"/>
        <w:rPr>
          <w:rFonts w:hint="eastAsia" w:eastAsia="宋体"/>
          <w:lang w:eastAsia="zh-CN"/>
        </w:rPr>
      </w:pPr>
      <w:r>
        <w:t xml:space="preserve">图 </w:t>
      </w:r>
      <w:r>
        <w:fldChar w:fldCharType="begin"/>
      </w:r>
      <w:r>
        <w:instrText xml:space="preserve"> SEQ 图 \* ARABIC </w:instrText>
      </w:r>
      <w:r>
        <w:fldChar w:fldCharType="separate"/>
      </w:r>
      <w:r>
        <w:t>14</w:t>
      </w:r>
      <w:r>
        <w:fldChar w:fldCharType="end"/>
      </w:r>
      <w:r>
        <w:rPr>
          <w:rFonts w:hint="eastAsia"/>
          <w:lang w:val="en-US" w:eastAsia="zh-CN"/>
        </w:rPr>
        <w:t xml:space="preserve"> </w:t>
      </w:r>
      <w:r>
        <w:rPr>
          <w:rFonts w:hint="eastAsia"/>
          <w:lang w:eastAsia="zh-CN"/>
        </w:rPr>
        <w:t>BLEU评分结果分布图</w:t>
      </w:r>
    </w:p>
    <w:p>
      <w:pPr>
        <w:jc w:val="center"/>
      </w:pPr>
      <w:r>
        <w:drawing>
          <wp:inline distT="0" distB="0" distL="114300" distR="114300">
            <wp:extent cx="3775075" cy="3775075"/>
            <wp:effectExtent l="0" t="0" r="4445" b="444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9"/>
                    <a:stretch>
                      <a:fillRect/>
                    </a:stretch>
                  </pic:blipFill>
                  <pic:spPr>
                    <a:xfrm>
                      <a:off x="0" y="0"/>
                      <a:ext cx="3775075" cy="3775075"/>
                    </a:xfrm>
                    <a:prstGeom prst="rect">
                      <a:avLst/>
                    </a:prstGeom>
                    <a:noFill/>
                    <a:ln>
                      <a:noFill/>
                    </a:ln>
                  </pic:spPr>
                </pic:pic>
              </a:graphicData>
            </a:graphic>
          </wp:inline>
        </w:drawing>
      </w:r>
    </w:p>
    <w:p>
      <w:pPr>
        <w:pStyle w:val="11"/>
        <w:jc w:val="center"/>
        <w:rPr>
          <w:rFonts w:hint="eastAsia" w:eastAsia="宋体"/>
          <w:lang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方案三 余弦相似度评分结果分布图</w:t>
      </w:r>
    </w:p>
    <w:p>
      <w:pPr>
        <w:jc w:val="center"/>
      </w:pPr>
      <w:r>
        <w:drawing>
          <wp:inline distT="0" distB="0" distL="114300" distR="114300">
            <wp:extent cx="4057650" cy="4057650"/>
            <wp:effectExtent l="0" t="0" r="11430" b="1143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0"/>
                    <a:stretch>
                      <a:fillRect/>
                    </a:stretch>
                  </pic:blipFill>
                  <pic:spPr>
                    <a:xfrm>
                      <a:off x="0" y="0"/>
                      <a:ext cx="4057650" cy="4057650"/>
                    </a:xfrm>
                    <a:prstGeom prst="rect">
                      <a:avLst/>
                    </a:prstGeom>
                    <a:noFill/>
                    <a:ln>
                      <a:noFill/>
                    </a:ln>
                  </pic:spPr>
                </pic:pic>
              </a:graphicData>
            </a:graphic>
          </wp:inline>
        </w:drawing>
      </w:r>
    </w:p>
    <w:p>
      <w:pPr>
        <w:pStyle w:val="11"/>
        <w:jc w:val="center"/>
        <w:rPr>
          <w:rFonts w:hint="eastAsia" w:eastAsia="宋体"/>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方案三 SAS评分结果分布图</w:t>
      </w:r>
    </w:p>
    <w:p>
      <w:pPr>
        <w:ind w:firstLine="420" w:firstLineChars="0"/>
        <w:jc w:val="center"/>
      </w:pPr>
      <w:r>
        <w:drawing>
          <wp:inline distT="0" distB="0" distL="114300" distR="114300">
            <wp:extent cx="3992245" cy="3992245"/>
            <wp:effectExtent l="0" t="0" r="635" b="63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1"/>
                    <a:stretch>
                      <a:fillRect/>
                    </a:stretch>
                  </pic:blipFill>
                  <pic:spPr>
                    <a:xfrm>
                      <a:off x="0" y="0"/>
                      <a:ext cx="3992245" cy="3992245"/>
                    </a:xfrm>
                    <a:prstGeom prst="rect">
                      <a:avLst/>
                    </a:prstGeom>
                    <a:noFill/>
                    <a:ln>
                      <a:noFill/>
                    </a:ln>
                  </pic:spPr>
                </pic:pic>
              </a:graphicData>
            </a:graphic>
          </wp:inline>
        </w:drawing>
      </w:r>
    </w:p>
    <w:p>
      <w:pPr>
        <w:pStyle w:val="11"/>
        <w:ind w:firstLine="420" w:firstLineChars="0"/>
        <w:jc w:val="center"/>
        <w:rPr>
          <w:rFonts w:hint="eastAsia"/>
          <w:lang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方案四 余弦相似度与BLEU结合评分结果</w:t>
      </w:r>
    </w:p>
    <w:p>
      <w:pPr>
        <w:jc w:val="center"/>
      </w:pPr>
      <w:r>
        <w:drawing>
          <wp:inline distT="0" distB="0" distL="114300" distR="114300">
            <wp:extent cx="3760470" cy="3760470"/>
            <wp:effectExtent l="0" t="0" r="3810" b="381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2"/>
                    <a:stretch>
                      <a:fillRect/>
                    </a:stretch>
                  </pic:blipFill>
                  <pic:spPr>
                    <a:xfrm>
                      <a:off x="0" y="0"/>
                      <a:ext cx="3760470" cy="3760470"/>
                    </a:xfrm>
                    <a:prstGeom prst="rect">
                      <a:avLst/>
                    </a:prstGeom>
                    <a:noFill/>
                    <a:ln>
                      <a:noFill/>
                    </a:ln>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方案四 SAS与BLEU结合评分结果</w:t>
      </w:r>
    </w:p>
    <w:p>
      <w:pPr>
        <w:ind w:firstLine="420" w:firstLineChars="0"/>
        <w:rPr>
          <w:rFonts w:hint="eastAsia"/>
          <w:lang w:val="en-US" w:eastAsia="zh-CN"/>
        </w:rPr>
      </w:pPr>
      <w:r>
        <w:rPr>
          <w:rFonts w:hint="eastAsia"/>
          <w:lang w:val="en-US" w:eastAsia="zh-CN"/>
        </w:rPr>
        <w:t>单单从上述结果中，我们可以得知单纯使用BLEU作为使用本文数据集进行预训练和微调的预测结果评估指标，是非常不合适的。因为在这次的随机抽样实验中，BLEU无一例外给了不超过0.5的低分，甚至99%的预测结果给到了0.25分以下，如此严格的要求预测结果的文本与参考答案的文本一致，会导致模型的泛化能力下降，无法理解中文的语义，不利于模型的训练，仅适用于翻译任务和文本摘要等对文本还原要求高的任务。而其他三个方案如果只从评分的分布图的角度来看，难以区分优劣，因此还应当抽出其中具体的评估案例，加以人工比对，来判断哪一种评估方案更加优秀。</w:t>
      </w:r>
    </w:p>
    <w:p>
      <w:pPr>
        <w:pStyle w:val="4"/>
        <w:bidi w:val="0"/>
        <w:spacing w:before="57" w:beforeLines="0" w:beforeAutospacing="0" w:after="57" w:afterLines="0" w:afterAutospacing="0"/>
        <w:rPr>
          <w:rFonts w:hint="default"/>
          <w:sz w:val="30"/>
          <w:szCs w:val="30"/>
          <w:lang w:val="en-US" w:eastAsia="zh-CN"/>
        </w:rPr>
      </w:pPr>
      <w:bookmarkStart w:id="32" w:name="_Toc1560"/>
      <w:r>
        <w:rPr>
          <w:rFonts w:hint="eastAsia"/>
          <w:sz w:val="30"/>
          <w:szCs w:val="30"/>
          <w:lang w:val="en-US" w:eastAsia="zh-CN"/>
        </w:rPr>
        <w:t>与人工评估的对比</w:t>
      </w:r>
      <w:bookmarkEnd w:id="32"/>
    </w:p>
    <w:p>
      <w:pPr>
        <w:ind w:firstLine="420" w:firstLineChars="0"/>
        <w:rPr>
          <w:rFonts w:hint="eastAsia"/>
          <w:lang w:val="en-US" w:eastAsia="zh-CN"/>
        </w:rPr>
      </w:pPr>
      <w:r>
        <w:rPr>
          <w:rFonts w:hint="eastAsia"/>
          <w:lang w:val="en-US" w:eastAsia="zh-CN"/>
        </w:rPr>
        <w:t>对于某些对语义评估有要求的大语言模型，人工评估的优势在于，人能够更好的理解两个文本之间的语义关系，进而判断两个文本的相似程度如何。但人工评估的缺点也非常明显，就是效率低，且容易发生疲劳，进而导致评估精确度下降。</w:t>
      </w:r>
    </w:p>
    <w:p>
      <w:pPr>
        <w:ind w:firstLine="420" w:firstLineChars="0"/>
        <w:rPr>
          <w:rFonts w:hint="default"/>
          <w:lang w:val="en-US" w:eastAsia="zh-CN"/>
        </w:rPr>
      </w:pPr>
      <w:r>
        <w:rPr>
          <w:rFonts w:hint="eastAsia"/>
          <w:lang w:val="en-US" w:eastAsia="zh-CN"/>
        </w:rPr>
        <w:t>为了比对除方案二外，何种评估方式更加贴近于人工评估、更加优秀，下面将从各评估方案的实验中，抽出最高分的预测结果和最低分的预测结果，通过人工来进行判断其给分是否合理、是否更加贴近人工评估。其中ROUGE系列指标以ROUGE-2为例进行讨论。方案一、方案三和方案四的最高分最低分预测结果如图19-21所示。</w:t>
      </w:r>
    </w:p>
    <w:p>
      <w:pPr>
        <w:jc w:val="center"/>
        <w:rPr>
          <w:rFonts w:hint="default"/>
          <w:lang w:val="en-US" w:eastAsia="zh-CN"/>
        </w:rPr>
      </w:pPr>
      <w:r>
        <w:rPr>
          <w:rFonts w:hint="default"/>
          <w:lang w:val="en-US" w:eastAsia="zh-CN"/>
        </w:rPr>
        <w:drawing>
          <wp:inline distT="0" distB="0" distL="114300" distR="114300">
            <wp:extent cx="5271135" cy="2084705"/>
            <wp:effectExtent l="0" t="0" r="1905" b="3175"/>
            <wp:docPr id="21" name="图片 21" descr="ROUGE-2评分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ROUGE-2评分结果"/>
                    <pic:cNvPicPr>
                      <a:picLocks noChangeAspect="1"/>
                    </pic:cNvPicPr>
                  </pic:nvPicPr>
                  <pic:blipFill>
                    <a:blip r:embed="rId23"/>
                    <a:stretch>
                      <a:fillRect/>
                    </a:stretch>
                  </pic:blipFill>
                  <pic:spPr>
                    <a:xfrm>
                      <a:off x="0" y="0"/>
                      <a:ext cx="5271135" cy="2084705"/>
                    </a:xfrm>
                    <a:prstGeom prst="rect">
                      <a:avLst/>
                    </a:prstGeom>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方案一的最高分和最低分</w:t>
      </w:r>
    </w:p>
    <w:p>
      <w:pPr>
        <w:jc w:val="center"/>
        <w:rPr>
          <w:rFonts w:hint="eastAsia"/>
          <w:lang w:val="en-US" w:eastAsia="zh-CN"/>
        </w:rPr>
      </w:pPr>
      <w:r>
        <w:rPr>
          <w:rFonts w:hint="eastAsia"/>
          <w:lang w:val="en-US" w:eastAsia="zh-CN"/>
        </w:rPr>
        <w:drawing>
          <wp:inline distT="0" distB="0" distL="114300" distR="114300">
            <wp:extent cx="5267960" cy="3926840"/>
            <wp:effectExtent l="0" t="0" r="5080" b="5080"/>
            <wp:docPr id="22" name="图片 22" descr="SAS和余弦相似度的评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AS和余弦相似度的评分"/>
                    <pic:cNvPicPr>
                      <a:picLocks noChangeAspect="1"/>
                    </pic:cNvPicPr>
                  </pic:nvPicPr>
                  <pic:blipFill>
                    <a:blip r:embed="rId24"/>
                    <a:stretch>
                      <a:fillRect/>
                    </a:stretch>
                  </pic:blipFill>
                  <pic:spPr>
                    <a:xfrm>
                      <a:off x="0" y="0"/>
                      <a:ext cx="5267960" cy="3926840"/>
                    </a:xfrm>
                    <a:prstGeom prst="rect">
                      <a:avLst/>
                    </a:prstGeom>
                  </pic:spPr>
                </pic:pic>
              </a:graphicData>
            </a:graphic>
          </wp:inline>
        </w:drawing>
      </w:r>
    </w:p>
    <w:p>
      <w:pPr>
        <w:pStyle w:val="11"/>
        <w:jc w:val="center"/>
        <w:rPr>
          <w:rFonts w:hint="eastAsia"/>
          <w:lang w:val="en-US" w:eastAsia="zh-CN"/>
        </w:rPr>
      </w:pPr>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方案三 </w:t>
      </w:r>
      <w:r>
        <w:rPr>
          <w:rFonts w:hint="eastAsia"/>
          <w:lang w:val="en-US" w:eastAsia="zh-CN"/>
        </w:rPr>
        <w:t>最高分和最低分</w:t>
      </w:r>
    </w:p>
    <w:p>
      <w:pPr>
        <w:jc w:val="center"/>
        <w:rPr>
          <w:rFonts w:hint="default"/>
          <w:lang w:val="en-US" w:eastAsia="zh-CN"/>
        </w:rPr>
      </w:pPr>
      <w:r>
        <w:rPr>
          <w:rFonts w:hint="default"/>
          <w:lang w:val="en-US" w:eastAsia="zh-CN"/>
        </w:rPr>
        <w:drawing>
          <wp:inline distT="0" distB="0" distL="114300" distR="114300">
            <wp:extent cx="5272405" cy="4090035"/>
            <wp:effectExtent l="0" t="0" r="635" b="9525"/>
            <wp:docPr id="24" name="图片 24" descr="SAS和余弦相似度与BLEU结合评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AS和余弦相似度与BLEU结合评估"/>
                    <pic:cNvPicPr>
                      <a:picLocks noChangeAspect="1"/>
                    </pic:cNvPicPr>
                  </pic:nvPicPr>
                  <pic:blipFill>
                    <a:blip r:embed="rId25"/>
                    <a:stretch>
                      <a:fillRect/>
                    </a:stretch>
                  </pic:blipFill>
                  <pic:spPr>
                    <a:xfrm>
                      <a:off x="0" y="0"/>
                      <a:ext cx="5272405" cy="4090035"/>
                    </a:xfrm>
                    <a:prstGeom prst="rect">
                      <a:avLst/>
                    </a:prstGeom>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21</w:t>
      </w:r>
      <w:r>
        <w:fldChar w:fldCharType="end"/>
      </w:r>
      <w:r>
        <w:rPr>
          <w:rFonts w:hint="eastAsia"/>
          <w:lang w:eastAsia="zh-CN"/>
        </w:rPr>
        <w:t xml:space="preserve"> 方案四 最高分和最低分</w:t>
      </w:r>
    </w:p>
    <w:p>
      <w:pPr>
        <w:ind w:firstLine="420" w:firstLineChars="0"/>
        <w:rPr>
          <w:rFonts w:hint="eastAsia"/>
          <w:lang w:val="en-US" w:eastAsia="zh-CN"/>
        </w:rPr>
      </w:pPr>
      <w:r>
        <w:rPr>
          <w:rFonts w:hint="eastAsia"/>
          <w:lang w:val="en-US" w:eastAsia="zh-CN"/>
        </w:rPr>
        <w:t>从方案一开始分析。ROUGE-2评出的最高分和最低分示例中，可以看见，最高分的预测结果在语义上虽然与参考文本十分相似，但文本长度上却相差较多，难免会失去一些信息导致意思表达的不够精准，而最低分的预测结果虽然与参考文本在字符匹配上表现较差，但该预测结果的语义却和参考文本表达的比较相似。因此可以确定，ROUGE-2在预测结果评估上与人工评估相差较大。</w:t>
      </w:r>
    </w:p>
    <w:p>
      <w:pPr>
        <w:ind w:firstLine="420" w:firstLineChars="0"/>
        <w:rPr>
          <w:rFonts w:hint="eastAsia"/>
          <w:lang w:val="en-US" w:eastAsia="zh-CN"/>
        </w:rPr>
      </w:pPr>
      <w:r>
        <w:rPr>
          <w:rFonts w:hint="eastAsia"/>
          <w:lang w:val="en-US" w:eastAsia="zh-CN"/>
        </w:rPr>
        <w:t>而虽然方案三的最高分和最低分的预测结果与参考文本之间的语义匹配虽然较为准确，但就如前文所提到的，在处理文本长度相差较多的情况下，依然会给出较高的评分。我们当然希望预测结果能够表述出与参考文本相同的意思的前提下，还能尽可能的完善细节信息。因此方案三的评估效果虽然比方案一的结果要强一点，但还是不够贴近人工评估标准。</w:t>
      </w:r>
    </w:p>
    <w:p>
      <w:pPr>
        <w:ind w:firstLine="420" w:firstLineChars="0"/>
        <w:rPr>
          <w:rFonts w:hint="default"/>
          <w:lang w:val="en-US" w:eastAsia="zh-CN"/>
        </w:rPr>
      </w:pPr>
      <w:r>
        <w:rPr>
          <w:rFonts w:hint="eastAsia"/>
          <w:lang w:val="en-US" w:eastAsia="zh-CN"/>
        </w:rPr>
        <w:t>从方案四的评估的最高分和最低分的评估结果来看，即使预测结果表达的语义与参考文本相似，但如果预测结果的文本长度与参考结果相比过短，还是会被给出低分。因为加入了BLEU指标来对短文本进行惩罚，因此在评估效果方面，会比较贴近人工评估的标准。</w:t>
      </w:r>
    </w:p>
    <w:p>
      <w:pPr>
        <w:pStyle w:val="4"/>
        <w:bidi w:val="0"/>
        <w:spacing w:before="57" w:beforeLines="0" w:beforeAutospacing="0" w:after="57" w:afterLines="0" w:afterAutospacing="0"/>
        <w:rPr>
          <w:rFonts w:hint="default"/>
          <w:sz w:val="30"/>
          <w:szCs w:val="30"/>
          <w:lang w:val="en-US" w:eastAsia="zh-CN"/>
        </w:rPr>
      </w:pPr>
      <w:bookmarkStart w:id="33" w:name="_Toc2868"/>
      <w:r>
        <w:rPr>
          <w:rFonts w:hint="eastAsia"/>
          <w:sz w:val="30"/>
          <w:szCs w:val="30"/>
          <w:lang w:val="en-US" w:eastAsia="zh-CN"/>
        </w:rPr>
        <w:t>评估结果总结</w:t>
      </w:r>
      <w:bookmarkEnd w:id="33"/>
    </w:p>
    <w:p>
      <w:pPr>
        <w:ind w:firstLine="420" w:firstLineChars="0"/>
        <w:rPr>
          <w:rFonts w:hint="default"/>
          <w:sz w:val="30"/>
          <w:szCs w:val="30"/>
          <w:lang w:val="en-US" w:eastAsia="zh-CN"/>
        </w:rPr>
      </w:pPr>
      <w:r>
        <w:rPr>
          <w:rFonts w:hint="eastAsia"/>
          <w:sz w:val="30"/>
          <w:szCs w:val="30"/>
          <w:lang w:val="en-US" w:eastAsia="zh-CN"/>
        </w:rPr>
        <w:t>从上文的评估结中我们可以知道，方案四是最适用于对在该数据集上的预测结果进行评估的方案。同时也可以直观的体会到，仅仅使用单个评估指标来作为预测结果评估方案是不够全面的，无法贴合人工评估的标准。因此，在制定评估方案的时候，应当综合考虑数据集的情况与模型训练的要求，综合多个指标进行评估方案的设计，才能够设计出有利于大语言模型训练的评估方案，加强大语言模型的性能。</w:t>
      </w:r>
    </w:p>
    <w:p>
      <w:pPr>
        <w:pStyle w:val="2"/>
        <w:bidi w:val="0"/>
        <w:rPr>
          <w:rFonts w:hint="eastAsia"/>
          <w:lang w:val="en-US" w:eastAsia="zh-CN"/>
        </w:rPr>
      </w:pPr>
      <w:bookmarkStart w:id="34" w:name="_Toc14646"/>
      <w:r>
        <w:rPr>
          <w:rFonts w:hint="eastAsia"/>
          <w:lang w:val="en-US" w:eastAsia="zh-CN"/>
        </w:rPr>
        <w:t>总结</w:t>
      </w:r>
      <w:bookmarkEnd w:id="34"/>
    </w:p>
    <w:p>
      <w:pPr>
        <w:ind w:firstLine="420" w:firstLineChars="0"/>
        <w:rPr>
          <w:rFonts w:hint="default"/>
          <w:lang w:val="en-US" w:eastAsia="zh-CN"/>
        </w:rPr>
      </w:pPr>
      <w:r>
        <w:rPr>
          <w:rFonts w:hint="eastAsia"/>
          <w:lang w:val="en-US" w:eastAsia="zh-CN"/>
        </w:rPr>
        <w:t>若想用自己的数据去训练能完成特定任务的大语言模型，学会如何制作一个能用于大语言模型训练的数据集是必不可少的。本文对大语言模型数据集的设计做了总结，同时通过具体实例来辅助说明了数据集制作的具体流程。</w:t>
      </w:r>
    </w:p>
    <w:p>
      <w:pPr>
        <w:pStyle w:val="3"/>
        <w:bidi w:val="0"/>
        <w:rPr>
          <w:rFonts w:hint="eastAsia"/>
          <w:lang w:val="en-US" w:eastAsia="zh-CN"/>
        </w:rPr>
      </w:pPr>
      <w:bookmarkStart w:id="35" w:name="_Toc4193"/>
      <w:r>
        <w:rPr>
          <w:rFonts w:hint="eastAsia"/>
          <w:lang w:val="en-US" w:eastAsia="zh-CN"/>
        </w:rPr>
        <w:t>研究结果总结</w:t>
      </w:r>
      <w:bookmarkEnd w:id="35"/>
    </w:p>
    <w:p>
      <w:pPr>
        <w:ind w:firstLine="420" w:firstLineChars="0"/>
        <w:rPr>
          <w:rFonts w:hint="eastAsia"/>
          <w:lang w:val="en-US" w:eastAsia="zh-CN"/>
        </w:rPr>
      </w:pPr>
      <w:r>
        <w:rPr>
          <w:rFonts w:hint="eastAsia"/>
          <w:lang w:val="en-US" w:eastAsia="zh-CN"/>
        </w:rPr>
        <w:t>在第二章，本文对数据集的制作流程做了总结，同时完成了用于化学领域大语言模型训练的语料库和QA数据集；在第三章，本文总结了评估一个数据集质量高低的指标有哪些，要从哪些方面去看待一个数据集是否是高质量数据集，同时还对第二章做的数据集进行了质量评估，以实操来体现如何对数据集质量进行评估；第四章，本文对现有的常用预测结果评估指标进行了总结，并根据第二章所制作的数据集的特点，制定了一系列预测结果评估的方案。通过这些评估方案对预测结果的评估结果对比，并在人工评估的角度下，对这些方案进行了对比，能更加直观的看出各种评估指标的特点和优劣。同时指出预测结果评估方案的设计，特别是对于中文预测数据的评估，不能单单只将一中评估指标作为评估标准，而是应该针对不同的情况，综合使用不同的评测指标才能更好的完成预测结果评估任务。</w:t>
      </w:r>
    </w:p>
    <w:p>
      <w:pPr>
        <w:ind w:firstLine="420" w:firstLineChars="0"/>
        <w:rPr>
          <w:rFonts w:hint="default"/>
          <w:lang w:val="en-US" w:eastAsia="zh-CN"/>
        </w:rPr>
      </w:pPr>
      <w:r>
        <w:rPr>
          <w:rFonts w:hint="eastAsia"/>
          <w:lang w:val="en-US" w:eastAsia="zh-CN"/>
        </w:rPr>
        <w:t>本文最终设计了一个用于化学领域LLM训练的数据集，其中包含一个有8924条数据的语料库和一个有2500对QA问答数据的QA数据集。同时还设计了一套用于评估在该数据集上进行结果预测的评估指标，并通过实例证明了方案的可用性。</w:t>
      </w:r>
    </w:p>
    <w:p>
      <w:pPr>
        <w:pStyle w:val="3"/>
        <w:bidi w:val="0"/>
        <w:rPr>
          <w:rFonts w:hint="eastAsia"/>
          <w:lang w:val="en-US" w:eastAsia="zh-CN"/>
        </w:rPr>
      </w:pPr>
      <w:bookmarkStart w:id="36" w:name="_Toc23482"/>
      <w:r>
        <w:rPr>
          <w:rFonts w:hint="eastAsia"/>
          <w:lang w:val="en-US" w:eastAsia="zh-CN"/>
        </w:rPr>
        <w:t>局限与未来展望</w:t>
      </w:r>
      <w:bookmarkEnd w:id="36"/>
    </w:p>
    <w:p>
      <w:pPr>
        <w:ind w:firstLine="420" w:firstLineChars="0"/>
        <w:rPr>
          <w:rFonts w:hint="eastAsia"/>
          <w:lang w:val="en-US" w:eastAsia="zh-CN"/>
        </w:rPr>
      </w:pPr>
      <w:r>
        <w:rPr>
          <w:rFonts w:hint="eastAsia"/>
          <w:lang w:val="en-US" w:eastAsia="zh-CN"/>
        </w:rPr>
        <w:t>本文对于用于LLM的专业数据集设计的局限性，在于对化学专业知识了解的限制，导致对数据进行人工筛检以及对数据集质量进行评估的时候，存在专业方面的局限性，导致数据筛检以及质量评估的结果也失去了一定的可信度。同时对于预测结果评估方案的设计，只设计了4个方案进行对比，没有深入探讨混合指标方案中，各个指标的占比究竟分别占多少才能达到最优效果。而且在引入人工评估对比的时候，也会由于专业知识的限制，导致对预测结果的判断会掺入一定的主观意识。</w:t>
      </w:r>
    </w:p>
    <w:p>
      <w:pPr>
        <w:ind w:firstLine="420" w:firstLineChars="0"/>
        <w:rPr>
          <w:rFonts w:hint="eastAsia"/>
          <w:lang w:val="en-US" w:eastAsia="zh-CN"/>
        </w:rPr>
      </w:pPr>
      <w:r>
        <w:rPr>
          <w:rFonts w:hint="eastAsia"/>
          <w:lang w:val="en-US" w:eastAsia="zh-CN"/>
        </w:rPr>
        <w:t>虽然本文的研究存在着如上的局限性。但本文的研究目的在于对目前的数据集制作方法做一个综述性文章，并通过实际数据集制作的实验来佐证本文总结的数据集制作路线是切实可行的。在大语言模型高速发展的现在，对高质量数据集的要求也越来越多，本文相信，在日后的大语言模型数据集研究领域，将会有更多更成熟的研究成果面世。希望本文能对数据集制作研究提供一定的借鉴。</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sectPr>
          <w:headerReference r:id="rId3" w:type="default"/>
          <w:pgSz w:w="11906" w:h="16838"/>
          <w:pgMar w:top="1440" w:right="1800" w:bottom="1440" w:left="1800" w:header="851" w:footer="992" w:gutter="0"/>
          <w:cols w:space="425" w:num="1"/>
          <w:docGrid w:type="lines" w:linePitch="312" w:charSpace="0"/>
        </w:sectPr>
      </w:pPr>
    </w:p>
    <w:p>
      <w:pPr>
        <w:pStyle w:val="2"/>
        <w:numPr>
          <w:ilvl w:val="0"/>
          <w:numId w:val="0"/>
        </w:numPr>
        <w:ind w:left="0" w:firstLine="0"/>
        <w:jc w:val="center"/>
        <w:rPr>
          <w:rFonts w:hint="eastAsia"/>
        </w:rPr>
      </w:pPr>
      <w:bookmarkStart w:id="37" w:name="_Toc167029157"/>
      <w:bookmarkStart w:id="38" w:name="_Toc27092"/>
      <w:bookmarkStart w:id="39" w:name="_Toc153297724"/>
      <w:bookmarkStart w:id="40" w:name="_Toc153297503"/>
      <w:r>
        <w:rPr>
          <w:rFonts w:hint="eastAsia"/>
        </w:rPr>
        <w:t>致谢</w:t>
      </w:r>
      <w:bookmarkEnd w:id="37"/>
      <w:bookmarkEnd w:id="38"/>
      <w:bookmarkEnd w:id="39"/>
      <w:bookmarkEnd w:id="40"/>
    </w:p>
    <w:p>
      <w:pPr>
        <w:pStyle w:val="2"/>
        <w:numPr>
          <w:ilvl w:val="0"/>
          <w:numId w:val="0"/>
        </w:numPr>
        <w:bidi w:val="0"/>
        <w:ind w:leftChars="0"/>
        <w:rPr>
          <w:rFonts w:hint="default"/>
          <w:lang w:val="en-US" w:eastAsia="zh-CN"/>
        </w:rPr>
      </w:pPr>
      <w:bookmarkStart w:id="41" w:name="_Toc1797"/>
      <w:r>
        <w:rPr>
          <w:rFonts w:hint="eastAsia"/>
          <w:lang w:val="en-US" w:eastAsia="zh-CN"/>
        </w:rPr>
        <w:t>附录</w:t>
      </w:r>
      <w:bookmarkEnd w:id="41"/>
    </w:p>
    <w:p>
      <w:pPr>
        <w:pStyle w:val="2"/>
        <w:numPr>
          <w:ilvl w:val="0"/>
          <w:numId w:val="0"/>
        </w:numPr>
        <w:jc w:val="center"/>
        <w:rPr>
          <w:rFonts w:hint="default"/>
          <w:lang w:val="en-US" w:eastAsia="zh-CN"/>
        </w:rPr>
      </w:pPr>
      <w:bookmarkStart w:id="42" w:name="_Toc20769"/>
      <w:bookmarkStart w:id="43" w:name="_Toc153297726"/>
      <w:bookmarkStart w:id="44" w:name="_Toc167029159"/>
      <w:bookmarkStart w:id="45" w:name="_Toc153297504"/>
      <w:r>
        <w:rPr>
          <w:rFonts w:hint="eastAsia"/>
        </w:rPr>
        <w:t>参考文献</w:t>
      </w:r>
      <w:bookmarkEnd w:id="42"/>
      <w:bookmarkEnd w:id="43"/>
      <w:bookmarkEnd w:id="44"/>
      <w:bookmarkEnd w:id="45"/>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Cambria Math">
    <w:panose1 w:val="02040503050406030204"/>
    <w:charset w:val="00"/>
    <w:family w:val="auto"/>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rPr>
    </w:pPr>
    <w:r>
      <w:rPr>
        <w:rFonts w:hint="eastAsia"/>
      </w:rPr>
      <w:t>暨南大学本科毕业设计（论文）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D0C5D1"/>
    <w:multiLevelType w:val="singleLevel"/>
    <w:tmpl w:val="B3D0C5D1"/>
    <w:lvl w:ilvl="0" w:tentative="0">
      <w:start w:val="1"/>
      <w:numFmt w:val="decimal"/>
      <w:suff w:val="space"/>
      <w:lvlText w:val="%1."/>
      <w:lvlJc w:val="left"/>
      <w:pPr>
        <w:ind w:left="700"/>
      </w:pPr>
    </w:lvl>
  </w:abstractNum>
  <w:abstractNum w:abstractNumId="1">
    <w:nsid w:val="FB4FD91E"/>
    <w:multiLevelType w:val="multilevel"/>
    <w:tmpl w:val="FB4FD91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sz w:val="30"/>
        <w:szCs w:val="30"/>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7AA22EF8"/>
    <w:multiLevelType w:val="singleLevel"/>
    <w:tmpl w:val="7AA22EF8"/>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YxMjBkYjAzMDVlYjBiMzg0OGQ1OTRlYjdlZGUxOWYifQ=="/>
  </w:docVars>
  <w:rsids>
    <w:rsidRoot w:val="51981C0D"/>
    <w:rsid w:val="02581652"/>
    <w:rsid w:val="0A1631ED"/>
    <w:rsid w:val="0C902461"/>
    <w:rsid w:val="13D53F8C"/>
    <w:rsid w:val="17C92604"/>
    <w:rsid w:val="19B817B8"/>
    <w:rsid w:val="1A3768DF"/>
    <w:rsid w:val="1A5233C8"/>
    <w:rsid w:val="1B1678F2"/>
    <w:rsid w:val="1BA153E4"/>
    <w:rsid w:val="1BFB781B"/>
    <w:rsid w:val="22FB4073"/>
    <w:rsid w:val="252A5B5B"/>
    <w:rsid w:val="27265C90"/>
    <w:rsid w:val="2FA87540"/>
    <w:rsid w:val="31673F25"/>
    <w:rsid w:val="35E86C48"/>
    <w:rsid w:val="3C4A7C21"/>
    <w:rsid w:val="3C4C6976"/>
    <w:rsid w:val="3DE503C5"/>
    <w:rsid w:val="3E717E0A"/>
    <w:rsid w:val="4451041C"/>
    <w:rsid w:val="4AFD3A03"/>
    <w:rsid w:val="4C8914C6"/>
    <w:rsid w:val="4CA0731E"/>
    <w:rsid w:val="4ED25CA6"/>
    <w:rsid w:val="4F9134EA"/>
    <w:rsid w:val="51981C0D"/>
    <w:rsid w:val="590E6701"/>
    <w:rsid w:val="5A667177"/>
    <w:rsid w:val="62D67210"/>
    <w:rsid w:val="68C25808"/>
    <w:rsid w:val="69DF42BB"/>
    <w:rsid w:val="6A641533"/>
    <w:rsid w:val="6AAB3FEE"/>
    <w:rsid w:val="733C304D"/>
    <w:rsid w:val="73A43546"/>
    <w:rsid w:val="76144325"/>
    <w:rsid w:val="76CC7EED"/>
    <w:rsid w:val="7E2929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2" w:semiHidden="0" w:name="heading 1"/>
    <w:lsdException w:qFormat="1" w:unhideWhenUsed="0" w:uiPriority="2"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2" w:name="toc 1"/>
    <w:lsdException w:qFormat="1" w:unhideWhenUsed="0" w:uiPriority="2" w:name="toc 2"/>
    <w:lsdException w:qFormat="1" w:unhideWhenUsed="0" w:uiPriority="2"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2457"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2383"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8"/>
      <w:szCs w:val="28"/>
      <w:lang w:val="en-US" w:eastAsia="zh-CN" w:bidi="ar-SA"/>
    </w:rPr>
  </w:style>
  <w:style w:type="paragraph" w:styleId="2">
    <w:name w:val="heading 1"/>
    <w:basedOn w:val="1"/>
    <w:next w:val="1"/>
    <w:uiPriority w:val="2"/>
    <w:pPr>
      <w:keepNext/>
      <w:keepLines/>
      <w:pageBreakBefore/>
      <w:numPr>
        <w:ilvl w:val="0"/>
        <w:numId w:val="1"/>
      </w:numPr>
      <w:spacing w:before="120" w:after="120" w:line="480" w:lineRule="auto"/>
      <w:ind w:left="432" w:hanging="432"/>
      <w:jc w:val="left"/>
      <w:outlineLvl w:val="0"/>
    </w:pPr>
    <w:rPr>
      <w:b/>
      <w:bCs/>
      <w:kern w:val="44"/>
      <w:sz w:val="36"/>
      <w:szCs w:val="36"/>
    </w:rPr>
  </w:style>
  <w:style w:type="paragraph" w:styleId="3">
    <w:name w:val="heading 2"/>
    <w:basedOn w:val="1"/>
    <w:next w:val="1"/>
    <w:qFormat/>
    <w:uiPriority w:val="2"/>
    <w:pPr>
      <w:keepNext/>
      <w:keepLines/>
      <w:numPr>
        <w:ilvl w:val="1"/>
        <w:numId w:val="1"/>
      </w:numPr>
      <w:spacing w:before="60" w:after="60" w:line="415" w:lineRule="auto"/>
      <w:ind w:left="575" w:hanging="575"/>
      <w:outlineLvl w:val="1"/>
    </w:pPr>
    <w:rPr>
      <w:b/>
      <w:bCs/>
      <w:sz w:val="30"/>
      <w:szCs w:val="30"/>
    </w:rPr>
  </w:style>
  <w:style w:type="paragraph" w:styleId="4">
    <w:name w:val="heading 3"/>
    <w:basedOn w:val="1"/>
    <w:next w:val="1"/>
    <w:autoRedefine/>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autoRedefine/>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autoRedefine/>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autoRedefine/>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autoRedefine/>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autoRedefine/>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0">
    <w:name w:val="Default Paragraph Font"/>
    <w:autoRedefine/>
    <w:semiHidden/>
    <w:uiPriority w:val="0"/>
  </w:style>
  <w:style w:type="table" w:default="1" w:styleId="18">
    <w:name w:val="Normal Table"/>
    <w:autoRedefine/>
    <w:semiHidden/>
    <w:qFormat/>
    <w:uiPriority w:val="0"/>
    <w:tblPr>
      <w:tblCellMar>
        <w:top w:w="0" w:type="dxa"/>
        <w:left w:w="108" w:type="dxa"/>
        <w:bottom w:w="0" w:type="dxa"/>
        <w:right w:w="108" w:type="dxa"/>
      </w:tblCellMar>
    </w:tblPr>
  </w:style>
  <w:style w:type="paragraph" w:styleId="11">
    <w:name w:val="caption"/>
    <w:basedOn w:val="1"/>
    <w:next w:val="1"/>
    <w:autoRedefine/>
    <w:semiHidden/>
    <w:unhideWhenUsed/>
    <w:qFormat/>
    <w:uiPriority w:val="0"/>
    <w:rPr>
      <w:rFonts w:ascii="Arial" w:hAnsi="Arial" w:eastAsia="黑体"/>
      <w:sz w:val="20"/>
    </w:rPr>
  </w:style>
  <w:style w:type="paragraph" w:styleId="12">
    <w:name w:val="toc 3"/>
    <w:basedOn w:val="1"/>
    <w:next w:val="1"/>
    <w:autoRedefine/>
    <w:semiHidden/>
    <w:qFormat/>
    <w:uiPriority w:val="2"/>
    <w:pPr>
      <w:tabs>
        <w:tab w:val="right" w:leader="dot" w:pos="9061"/>
      </w:tabs>
      <w:ind w:left="1" w:firstLine="239"/>
      <w:jc w:val="left"/>
    </w:pPr>
    <w:rPr>
      <w:iCs/>
      <w:sz w:val="21"/>
      <w:szCs w:val="21"/>
    </w:rPr>
  </w:style>
  <w:style w:type="paragraph" w:styleId="13">
    <w:name w:val="header"/>
    <w:basedOn w:val="1"/>
    <w:autoRedefine/>
    <w:qFormat/>
    <w:uiPriority w:val="0"/>
    <w:pPr>
      <w:pBdr>
        <w:bottom w:val="single" w:color="auto" w:sz="6" w:space="1"/>
      </w:pBdr>
      <w:tabs>
        <w:tab w:val="center" w:pos="4153"/>
        <w:tab w:val="right" w:pos="8306"/>
      </w:tabs>
      <w:snapToGrid w:val="0"/>
      <w:spacing w:line="240" w:lineRule="atLeast"/>
      <w:jc w:val="center"/>
    </w:pPr>
    <w:rPr>
      <w:sz w:val="18"/>
      <w:szCs w:val="18"/>
    </w:rPr>
  </w:style>
  <w:style w:type="paragraph" w:styleId="14">
    <w:name w:val="toc 1"/>
    <w:basedOn w:val="1"/>
    <w:next w:val="1"/>
    <w:autoRedefine/>
    <w:semiHidden/>
    <w:qFormat/>
    <w:uiPriority w:val="2"/>
    <w:pPr>
      <w:spacing w:before="120" w:after="120"/>
      <w:jc w:val="left"/>
    </w:pPr>
    <w:rPr>
      <w:b/>
      <w:bCs/>
      <w:caps/>
    </w:rPr>
  </w:style>
  <w:style w:type="paragraph" w:styleId="15">
    <w:name w:val="toc 2"/>
    <w:basedOn w:val="1"/>
    <w:next w:val="1"/>
    <w:autoRedefine/>
    <w:semiHidden/>
    <w:qFormat/>
    <w:uiPriority w:val="2"/>
    <w:pPr>
      <w:ind w:left="240"/>
      <w:jc w:val="left"/>
    </w:pPr>
    <w:rPr>
      <w:smallCaps/>
      <w:sz w:val="24"/>
      <w:szCs w:val="24"/>
    </w:rPr>
  </w:style>
  <w:style w:type="paragraph" w:styleId="1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Body Text First Indent 2"/>
    <w:basedOn w:val="1"/>
    <w:autoRedefine/>
    <w:qFormat/>
    <w:uiPriority w:val="2457"/>
    <w:pPr>
      <w:ind w:firstLine="200" w:firstLineChars="200"/>
    </w:pPr>
  </w:style>
  <w:style w:type="table" w:styleId="19">
    <w:name w:val="Table Grid"/>
    <w:basedOn w:val="18"/>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Hyperlink"/>
    <w:basedOn w:val="20"/>
    <w:autoRedefine/>
    <w:qFormat/>
    <w:uiPriority w:val="2383"/>
    <w:rPr>
      <w:color w:val="0000FF"/>
      <w:u w:val="single"/>
    </w:rPr>
  </w:style>
  <w:style w:type="paragraph" w:customStyle="1" w:styleId="22">
    <w:name w:val="普通标题"/>
    <w:basedOn w:val="1"/>
    <w:next w:val="1"/>
    <w:autoRedefine/>
    <w:qFormat/>
    <w:uiPriority w:val="1664"/>
    <w:pPr>
      <w:spacing w:before="100" w:beforeLines="100" w:after="200" w:afterLines="200"/>
      <w:jc w:val="center"/>
    </w:pPr>
    <w:rPr>
      <w:b/>
      <w:sz w:val="36"/>
      <w:szCs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chart" Target="charts/chart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tx1">
                    <a:lumMod val="75000"/>
                    <a:lumOff val="25000"/>
                  </a:schemeClr>
                </a:solidFill>
                <a:latin typeface="+mn-lt"/>
                <a:ea typeface="+mn-ea"/>
                <a:cs typeface="+mn-cs"/>
              </a:defRPr>
            </a:pPr>
            <a:r>
              <a:t>数据准确性检测</a:t>
            </a:r>
          </a:p>
        </c:rich>
      </c:tx>
      <c:layout/>
      <c:overlay val="0"/>
      <c:spPr>
        <a:noFill/>
        <a:ln>
          <a:noFill/>
        </a:ln>
        <a:effectLst/>
      </c:spPr>
    </c:title>
    <c:autoTitleDeleted val="0"/>
    <c:plotArea>
      <c:layout/>
      <c:barChart>
        <c:barDir val="col"/>
        <c:grouping val="clustered"/>
        <c:varyColors val="0"/>
        <c:ser>
          <c:idx val="0"/>
          <c:order val="0"/>
          <c:tx>
            <c:strRef>
              <c:f>[工作簿1]Sheet1!$A$2</c:f>
              <c:strCache>
                <c:ptCount val="1"/>
                <c:pt idx="0">
                  <c:v>QA数据</c:v>
                </c:pt>
              </c:strCache>
            </c:strRef>
          </c:tx>
          <c:spPr>
            <a:solidFill>
              <a:schemeClr val="accent1"/>
            </a:solidFill>
            <a:ln>
              <a:noFill/>
            </a:ln>
            <a:effectLst/>
          </c:spPr>
          <c:invertIfNegative val="0"/>
          <c:dLbls>
            <c:dLbl>
              <c:idx val="2"/>
              <c:layout/>
              <c:tx>
                <c:rich>
                  <a:bodyPr rot="0" spcFirstLastPara="0" vertOverflow="ellipsis" vert="horz" wrap="square" lIns="38100" tIns="19050" rIns="38100" bIns="19050" anchor="ctr" anchorCtr="1"/>
                  <a:lstStyle/>
                  <a:p>
                    <a:pPr defTabSz="914400">
                      <a:defRPr lang="zh-CN" sz="1000" b="0" i="0" u="none" strike="noStrike" kern="1200" baseline="0">
                        <a:solidFill>
                          <a:schemeClr val="tx1">
                            <a:lumMod val="75000"/>
                            <a:lumOff val="25000"/>
                          </a:schemeClr>
                        </a:solidFill>
                        <a:latin typeface="+mn-lt"/>
                        <a:ea typeface="+mn-ea"/>
                        <a:cs typeface="+mn-cs"/>
                      </a:defRPr>
                    </a:pPr>
                    <a:r>
                      <a:t>96</a:t>
                    </a:r>
                    <a:r>
                      <a:rPr lang="en-US" altLang="zh-CN"/>
                      <a:t>%</a:t>
                    </a:r>
                    <a:endParaRPr lang="en-US" altLang="zh-CN"/>
                  </a:p>
                </c:rich>
              </c:tx>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[工作簿1]Sheet1!$B$1:$D$1</c:f>
              <c:strCache>
                <c:ptCount val="3"/>
                <c:pt idx="0">
                  <c:v>检测总数</c:v>
                </c:pt>
                <c:pt idx="1">
                  <c:v>合格数</c:v>
                </c:pt>
                <c:pt idx="2">
                  <c:v>合格率</c:v>
                </c:pt>
              </c:strCache>
            </c:strRef>
          </c:cat>
          <c:val>
            <c:numRef>
              <c:f>[工作簿1]Sheet1!$B$2:$D$2</c:f>
              <c:numCache>
                <c:formatCode>General</c:formatCode>
                <c:ptCount val="3"/>
                <c:pt idx="0">
                  <c:v>50</c:v>
                </c:pt>
                <c:pt idx="1">
                  <c:v>48</c:v>
                </c:pt>
                <c:pt idx="2">
                  <c:v>96</c:v>
                </c:pt>
              </c:numCache>
            </c:numRef>
          </c:val>
        </c:ser>
        <c:ser>
          <c:idx val="1"/>
          <c:order val="1"/>
          <c:tx>
            <c:strRef>
              <c:f>[工作簿1]Sheet1!$A$3</c:f>
              <c:strCache>
                <c:ptCount val="1"/>
                <c:pt idx="0">
                  <c:v>语料库</c:v>
                </c:pt>
              </c:strCache>
            </c:strRef>
          </c:tx>
          <c:spPr>
            <a:solidFill>
              <a:schemeClr val="accent2"/>
            </a:solidFill>
            <a:ln>
              <a:noFill/>
            </a:ln>
            <a:effectLst/>
          </c:spPr>
          <c:invertIfNegative val="0"/>
          <c:dLbls>
            <c:dLbl>
              <c:idx val="2"/>
              <c:layout/>
              <c:tx>
                <c:rich>
                  <a:bodyPr rot="0" spcFirstLastPara="0" vertOverflow="ellipsis" vert="horz" wrap="square" lIns="38100" tIns="19050" rIns="38100" bIns="19050" anchor="ctr" anchorCtr="1"/>
                  <a:lstStyle/>
                  <a:p>
                    <a:pPr defTabSz="914400">
                      <a:defRPr lang="zh-CN" sz="1000" b="0" i="0" u="none" strike="noStrike" kern="1200" baseline="0">
                        <a:solidFill>
                          <a:schemeClr val="tx1">
                            <a:lumMod val="75000"/>
                            <a:lumOff val="25000"/>
                          </a:schemeClr>
                        </a:solidFill>
                        <a:latin typeface="+mn-lt"/>
                        <a:ea typeface="+mn-ea"/>
                        <a:cs typeface="+mn-cs"/>
                      </a:defRPr>
                    </a:pPr>
                    <a:r>
                      <a:t>100</a:t>
                    </a:r>
                    <a:r>
                      <a:rPr lang="en-US" altLang="zh-CN"/>
                      <a:t>%</a:t>
                    </a:r>
                    <a:endParaRPr lang="en-US" altLang="zh-CN"/>
                  </a:p>
                </c:rich>
              </c:tx>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[工作簿1]Sheet1!$B$1:$D$1</c:f>
              <c:strCache>
                <c:ptCount val="3"/>
                <c:pt idx="0">
                  <c:v>检测总数</c:v>
                </c:pt>
                <c:pt idx="1">
                  <c:v>合格数</c:v>
                </c:pt>
                <c:pt idx="2">
                  <c:v>合格率</c:v>
                </c:pt>
              </c:strCache>
            </c:strRef>
          </c:cat>
          <c:val>
            <c:numRef>
              <c:f>[工作簿1]Sheet1!$B$3:$D$3</c:f>
              <c:numCache>
                <c:formatCode>General</c:formatCode>
                <c:ptCount val="3"/>
                <c:pt idx="0">
                  <c:v>100</c:v>
                </c:pt>
                <c:pt idx="1">
                  <c:v>100</c:v>
                </c:pt>
                <c:pt idx="2">
                  <c:v>100</c:v>
                </c:pt>
              </c:numCache>
            </c:numRef>
          </c:val>
        </c:ser>
        <c:dLbls>
          <c:showLegendKey val="0"/>
          <c:showVal val="1"/>
          <c:showCatName val="0"/>
          <c:showSerName val="0"/>
          <c:showPercent val="0"/>
          <c:showBubbleSize val="0"/>
        </c:dLbls>
        <c:gapWidth val="246"/>
        <c:overlap val="-28"/>
        <c:axId val="425518092"/>
        <c:axId val="407952846"/>
      </c:barChart>
      <c:catAx>
        <c:axId val="4255180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07952846"/>
        <c:crosses val="autoZero"/>
        <c:auto val="1"/>
        <c:lblAlgn val="ctr"/>
        <c:lblOffset val="100"/>
        <c:noMultiLvlLbl val="0"/>
      </c:catAx>
      <c:valAx>
        <c:axId val="407952846"/>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2551809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45</Pages>
  <Words>0</Words>
  <Characters>0</Characters>
  <Lines>0</Lines>
  <Paragraphs>0</Paragraphs>
  <TotalTime>97</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2024-04-06T12:29:00Z</dcterms:created>
  <dc:creator>...</dc:creator>
  <cp:lastModifiedBy>...</cp:lastModifiedBy>
  <dcterms:modified xsi:type="dcterms:W3CDTF">2024-04-14T09:42:02Z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BF1821A34D3645AE97AABA45BE5DF12E_11</vt:lpwstr>
  </property>
</Properties>
</file>