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Yelp-style Review Analysis Report</w:t>
      </w:r>
    </w:p>
    <w:p>
      <w:pPr>
        <w:pStyle w:val="Heading2"/>
      </w:pPr>
      <w:r>
        <w:t>1. Key Findings</w:t>
      </w:r>
    </w:p>
    <w:p>
      <w:r>
        <w:t>- The dataset contains 800 reviews spanning 9 cuisine categories and 4 price ranges.</w:t>
        <w:br/>
        <w:t>- Overall sentiment distribution shows ~45–50% positive reviews, 25–30% neutral, and 20–25% negative.</w:t>
        <w:br/>
        <w:t>- Ratings skew toward 4 stars, with smaller tails at 1–2 and 5 stars.</w:t>
        <w:br/>
        <w:t>- Mid-tier price ranges ($$ and $$$) host the majority of reviews, indicating their popularity.</w:t>
      </w:r>
    </w:p>
    <w:p>
      <w:pPr>
        <w:pStyle w:val="Heading2"/>
      </w:pPr>
      <w:r>
        <w:t>2. Pattern Observations</w:t>
      </w:r>
    </w:p>
    <w:p>
      <w:r>
        <w:t>- Cuisine-level sentiment varies: cuisines like Italian, American, and Mexican receive higher proportions of positive reviews, while some niche cuisines show more mixed or negative sentiment.</w:t>
        <w:br/>
        <w:t>- Neutral sentiment is more common in cuisines where variety or consistency issues appear.</w:t>
        <w:br/>
        <w:t>- Heatmap analysis highlights that most reviews cluster in the $ and $$ brackets, especially for popular cuisines like American and Chinese.</w:t>
        <w:br/>
        <w:t>- Sentiment distribution by price shows no strict monotonic relationship; mid-tier venues tend to earn the highest positive shares.</w:t>
      </w:r>
    </w:p>
    <w:p>
      <w:pPr>
        <w:pStyle w:val="Heading2"/>
      </w:pPr>
      <w:r>
        <w:t>3. Business Implications</w:t>
      </w:r>
    </w:p>
    <w:p>
      <w:r>
        <w:t>- Restaurants in mid-tier price categories ($$ and $$$) have strong opportunities, as customers perceive value and quality balance there.</w:t>
        <w:br/>
        <w:t>- Negative reviews point to service issues and outdated documentation/menus, suggesting that improvements in customer experience and transparency could boost overall ratings.</w:t>
        <w:br/>
        <w:t>- Cuisine-specific insights (e.g., stronger positivity for Italian/American) can inform targeted marketing and promotions.</w:t>
        <w:br/>
        <w:t>- Businesses in higher price brackets ($$$$) may need to differentiate strongly on service and uniqueness, as volume and positive sentiment are lower.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