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Reuters Corpus Analysis</w:t>
      </w:r>
    </w:p>
    <w:p>
      <w:pPr>
        <w:pStyle w:val="Heading1"/>
      </w:pPr>
      <w:r>
        <w:t>1. Compare the vocabulary sizes and matrix shapes you obtained. What do these numbers tell you about the Reuters corpus?</w:t>
      </w:r>
    </w:p>
    <w:p>
      <w:r>
        <w:t>Vocabulary size: The vocabulary size represents the number of unique terms found across all documents in the Reuters corpus (after tokenization and filtering based on the vectorizer rules). A large vocabulary size indicates a diverse and rich set of terms in the corpus, which is expected because Reuters news articles cover various topics.</w:t>
      </w:r>
    </w:p>
    <w:p>
      <w:r>
        <w:t>Matrix shape: For the Bag-of-Words or TF-IDF matrices, the shape is (number_of_documents, vocabulary_size). For example, if you have 10,000 documents and 20,000 unique terms, the matrix will be (10000, 20000). This shows that every document is represented as a sparse vector of 20,000 dimensions.</w:t>
      </w:r>
    </w:p>
    <w:p>
      <w:r>
        <w:t>Conclusion: These numbers highlight that the Reuters corpus is both large and diverse, with many unique words spread across thousands of documents.</w:t>
      </w:r>
    </w:p>
    <w:p>
      <w:pPr>
        <w:pStyle w:val="Heading1"/>
      </w:pPr>
      <w:r>
        <w:t>2. How many features (non-zero elements) did you find in your sample documents before and after stop word removal?</w:t>
      </w:r>
    </w:p>
    <w:p>
      <w:r>
        <w:t>Before stop word removal: The number of non-zero features corresponds to the number of unique terms present in a document that match the vocabulary. This is usually larger because common words like “the”, “is”, and “and” are included.</w:t>
      </w:r>
    </w:p>
    <w:p>
      <w:r>
        <w:t>After stop word removal: The number of non-zero features decreases because stop words (which are very frequent and add little meaning) are removed from the vocabulary.</w:t>
      </w:r>
    </w:p>
    <w:p>
      <w:r>
        <w:t>Impact: Removing stop words reduces the dimensionality of the document representation and focuses more on meaningful terms. For example, if document 0 initially had 120 non-zero features, after stop word removal it might drop to around 80.</w:t>
      </w:r>
    </w:p>
    <w:p>
      <w:pPr>
        <w:pStyle w:val="Heading1"/>
      </w:pPr>
      <w:r>
        <w:t>3. When processing new documents, what happens to terms that weren’t in the original training vocabulary?</w:t>
      </w:r>
    </w:p>
    <w:p>
      <w:r>
        <w:t>Any new term that was not present in the training vocabulary is ignored by the vectorizer during transformation. It won’t be represented in the document vector (it effectively contributes a zero value for that position).</w:t>
      </w:r>
    </w:p>
    <w:p>
      <w:r>
        <w:t>This happens because both CountVectorizer and TfidfVectorizer are trained with a fixed vocabulary derived from the corpus used in .fit().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