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8FDAD">
      <w:pPr>
        <w:tabs>
          <w:tab w:val="left" w:pos="3360"/>
        </w:tabs>
        <w:jc w:val="center"/>
        <w:rPr>
          <w:rFonts w:hint="default"/>
          <w:sz w:val="40"/>
          <w:szCs w:val="48"/>
          <w:highlight w:val="yellow"/>
          <w:lang w:val="en-US" w:eastAsia="zh-CN"/>
        </w:rPr>
      </w:pPr>
      <w:r>
        <w:rPr>
          <w:rFonts w:hint="eastAsia"/>
          <w:sz w:val="40"/>
          <w:szCs w:val="48"/>
          <w:highlight w:val="yellow"/>
          <w:lang w:val="en-US" w:eastAsia="zh-CN"/>
        </w:rPr>
        <w:t>所有的数学操作，都需要对应物理电路实现。</w:t>
      </w:r>
    </w:p>
    <w:p w14:paraId="2458C9E8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ADC与DAC信号处理基础</w:t>
      </w:r>
    </w:p>
    <w:p w14:paraId="0E8F4F75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ADC (continuous to discrete)</w:t>
      </w:r>
    </w:p>
    <w:p w14:paraId="43525783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采样</w:t>
      </w:r>
    </w:p>
    <w:p w14:paraId="1632070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冲激函数采样（冲激函数不改变频域上的性质）</w:t>
      </w:r>
    </w:p>
    <w:p w14:paraId="108EE55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由于信号与冲激函数在时域上相乘，相当于频域上卷积，根据计算结果，频域周期性出现（奈圭斯特定理的严谨数学推导）</w:t>
      </w:r>
    </w:p>
    <w:p w14:paraId="40C55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12845" cy="22269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0C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--&gt;奈圭斯特采样定律，采样率Fs≥采集信号最大频率B</w:t>
      </w:r>
    </w:p>
    <w:p w14:paraId="2932E4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形象描述</w:t>
      </w:r>
    </w:p>
    <w:p w14:paraId="103B1DA3">
      <w:pPr>
        <w:numPr>
          <w:ilvl w:val="0"/>
          <w:numId w:val="0"/>
        </w:numPr>
      </w:pPr>
      <w:r>
        <w:drawing>
          <wp:inline distT="0" distB="0" distL="114300" distR="114300">
            <wp:extent cx="3718560" cy="24314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C0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A98A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E74C5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A53F7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92302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0F9BD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F44AD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F6799C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采样误差分析</w:t>
      </w:r>
    </w:p>
    <w:p w14:paraId="483596E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系统内高频分量：</w:t>
      </w:r>
    </w:p>
    <w:p w14:paraId="6BE028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①可增大Fs使其与主信号分开（以为如果不增大Fs，高频信号就会混叠到主信号区域）</w:t>
      </w:r>
    </w:p>
    <w:p w14:paraId="3145F6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781935" cy="2297430"/>
            <wp:effectExtent l="0" t="0" r="1206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06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②低通滤波</w:t>
      </w:r>
    </w:p>
    <w:p w14:paraId="1CDC72CF">
      <w:pPr>
        <w:numPr>
          <w:ilvl w:val="0"/>
          <w:numId w:val="0"/>
        </w:numPr>
      </w:pPr>
      <w:r>
        <w:drawing>
          <wp:inline distT="0" distB="0" distL="114300" distR="114300">
            <wp:extent cx="3082925" cy="2374265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DE8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高频信号Attenuation（衰减）与过采样、滤波级数的关系</w:t>
      </w:r>
    </w:p>
    <w:p w14:paraId="4772DC52">
      <w:pPr>
        <w:numPr>
          <w:ilvl w:val="0"/>
          <w:numId w:val="0"/>
        </w:numPr>
      </w:pPr>
      <w:r>
        <w:drawing>
          <wp:inline distT="0" distB="0" distL="114300" distR="114300">
            <wp:extent cx="3015615" cy="2285365"/>
            <wp:effectExtent l="0" t="0" r="698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F2B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608C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3415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6737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高频aliasing的实例</w:t>
      </w:r>
    </w:p>
    <w:p w14:paraId="305461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432935" cy="3089910"/>
            <wp:effectExtent l="0" t="0" r="12065" b="8890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46A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低频噪声</w:t>
      </w:r>
    </w:p>
    <w:p w14:paraId="256F8A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模拟信号的量化（Quantization of an Analog Signal）</w:t>
      </w:r>
    </w:p>
    <w:p w14:paraId="0C0F135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利用discrete voltage对采样点向上或向下取整，此时出现最大为</w:t>
      </w:r>
      <w:r>
        <w:rPr>
          <w:rFonts w:ascii="Symbol" w:hAnsi="Symbol" w:eastAsia="宋体" w:cs="Symbol"/>
          <w:color w:val="000000"/>
          <w:kern w:val="0"/>
          <w:sz w:val="24"/>
          <w:szCs w:val="24"/>
          <w:lang w:val="en-US" w:eastAsia="zh-CN" w:bidi="ar"/>
        </w:rPr>
        <w:t>D</w:t>
      </w:r>
      <w:r>
        <w:rPr>
          <w:rFonts w:hint="eastAsia" w:ascii="Symbol" w:hAnsi="Symbol" w:eastAsia="宋体" w:cs="Symbol"/>
          <w:color w:val="000000"/>
          <w:kern w:val="0"/>
          <w:sz w:val="24"/>
          <w:szCs w:val="24"/>
          <w:lang w:val="en-US" w:eastAsia="zh-CN" w:bidi="ar"/>
        </w:rPr>
        <w:t>/2的误差</w:t>
      </w:r>
    </w:p>
    <w:p w14:paraId="7E4B8307">
      <w:pPr>
        <w:numPr>
          <w:ilvl w:val="0"/>
          <w:numId w:val="0"/>
        </w:numPr>
      </w:pPr>
      <w:r>
        <w:drawing>
          <wp:inline distT="0" distB="0" distL="114300" distR="114300">
            <wp:extent cx="2581910" cy="1916430"/>
            <wp:effectExtent l="0" t="0" r="889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8270" cy="1894840"/>
            <wp:effectExtent l="0" t="0" r="1143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38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Abbreviation FSR := full scale range</w:t>
      </w:r>
    </w:p>
    <w:p w14:paraId="62A27A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C1A9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基本量的命名（nomenclature）</w:t>
      </w:r>
    </w:p>
    <w:p w14:paraId="7880D3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LSB synonymous with width</w:t>
      </w:r>
    </w:p>
    <w:p w14:paraId="08AC58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Transition level T[k]</w:t>
      </w:r>
    </w:p>
    <w:p w14:paraId="68D601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 width: W[k] = T[k+1] - T[k]</w:t>
      </w:r>
    </w:p>
    <w:p w14:paraId="6389F13F">
      <w:pPr>
        <w:numPr>
          <w:ilvl w:val="0"/>
          <w:numId w:val="0"/>
        </w:numPr>
      </w:pPr>
      <w:r>
        <w:drawing>
          <wp:inline distT="0" distB="0" distL="114300" distR="114300">
            <wp:extent cx="2059940" cy="1902460"/>
            <wp:effectExtent l="0" t="0" r="1016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01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量化器的分类（两种双极量化器，一种单极量化器）</w:t>
      </w:r>
    </w:p>
    <w:p w14:paraId="4CD0535A">
      <w:pPr>
        <w:numPr>
          <w:ilvl w:val="0"/>
          <w:numId w:val="0"/>
        </w:numPr>
      </w:pPr>
      <w:r>
        <w:drawing>
          <wp:inline distT="0" distB="0" distL="114300" distR="114300">
            <wp:extent cx="4184650" cy="157416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A80E">
      <w:pPr>
        <w:numPr>
          <w:ilvl w:val="0"/>
          <w:numId w:val="0"/>
        </w:numPr>
      </w:pPr>
    </w:p>
    <w:p w14:paraId="7C50F368">
      <w:pPr>
        <w:numPr>
          <w:ilvl w:val="0"/>
          <w:numId w:val="0"/>
        </w:numPr>
      </w:pPr>
    </w:p>
    <w:p w14:paraId="7920352B">
      <w:pPr>
        <w:numPr>
          <w:ilvl w:val="0"/>
          <w:numId w:val="0"/>
        </w:numPr>
      </w:pPr>
    </w:p>
    <w:p w14:paraId="43521535">
      <w:pPr>
        <w:numPr>
          <w:ilvl w:val="0"/>
          <w:numId w:val="0"/>
        </w:numPr>
      </w:pPr>
    </w:p>
    <w:p w14:paraId="53DBACC6">
      <w:pPr>
        <w:numPr>
          <w:ilvl w:val="0"/>
          <w:numId w:val="0"/>
        </w:numPr>
      </w:pPr>
    </w:p>
    <w:p w14:paraId="18425AA1">
      <w:pPr>
        <w:numPr>
          <w:ilvl w:val="0"/>
          <w:numId w:val="0"/>
        </w:numPr>
      </w:pPr>
    </w:p>
    <w:p w14:paraId="40B418E0">
      <w:pPr>
        <w:numPr>
          <w:ilvl w:val="0"/>
          <w:numId w:val="0"/>
        </w:numPr>
      </w:pPr>
    </w:p>
    <w:p w14:paraId="7E4F478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从这个图就可以看出使用Mid-rise量化器的缺点（所以量化器的选择也会影响误差）</w:t>
      </w:r>
    </w:p>
    <w:p w14:paraId="5DD2097A">
      <w:pPr>
        <w:numPr>
          <w:ilvl w:val="0"/>
          <w:numId w:val="0"/>
        </w:numPr>
      </w:pPr>
      <w:r>
        <w:drawing>
          <wp:inline distT="0" distB="0" distL="114300" distR="114300">
            <wp:extent cx="2629535" cy="2259330"/>
            <wp:effectExtent l="0" t="0" r="1206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2070" cy="2346960"/>
            <wp:effectExtent l="0" t="0" r="1143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AF1D">
      <w:pPr>
        <w:numPr>
          <w:ilvl w:val="0"/>
          <w:numId w:val="0"/>
        </w:numPr>
        <w:rPr>
          <w:rFonts w:hint="eastAsia"/>
          <w:highlight w:val="yellow"/>
          <w:vertAlign w:val="baseli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如果采样率是输入信号频率的整数倍，那么e</w:t>
      </w:r>
      <w:r>
        <w:rPr>
          <w:rFonts w:hint="eastAsia"/>
          <w:highlight w:val="yellow"/>
          <w:vertAlign w:val="subscript"/>
          <w:lang w:val="en-US" w:eastAsia="zh-CN"/>
        </w:rPr>
        <w:t>q</w:t>
      </w:r>
      <w:r>
        <w:rPr>
          <w:rFonts w:hint="eastAsia"/>
          <w:highlight w:val="yellow"/>
          <w:vertAlign w:val="baseline"/>
          <w:lang w:val="en-US" w:eastAsia="zh-CN"/>
        </w:rPr>
        <w:t>将周期出现，导致只分布在其中几个值。（所以若想获得更有区分度的样本和更长的周期，我们应该让f</w:t>
      </w:r>
      <w:r>
        <w:rPr>
          <w:rFonts w:hint="eastAsia"/>
          <w:highlight w:val="yellow"/>
          <w:vertAlign w:val="subscript"/>
          <w:lang w:val="en-US" w:eastAsia="zh-CN"/>
        </w:rPr>
        <w:t>in</w:t>
      </w:r>
      <w:r>
        <w:rPr>
          <w:rFonts w:hint="eastAsia"/>
          <w:highlight w:val="yellow"/>
          <w:vertAlign w:val="baseline"/>
          <w:lang w:val="en-US" w:eastAsia="zh-CN"/>
        </w:rPr>
        <w:t>和f</w:t>
      </w:r>
      <w:r>
        <w:rPr>
          <w:rFonts w:hint="eastAsia"/>
          <w:highlight w:val="yellow"/>
          <w:vertAlign w:val="subscript"/>
          <w:lang w:val="en-US" w:eastAsia="zh-CN"/>
        </w:rPr>
        <w:t>s</w:t>
      </w:r>
      <w:r>
        <w:rPr>
          <w:rFonts w:hint="eastAsia"/>
          <w:highlight w:val="yellow"/>
          <w:vertAlign w:val="baseline"/>
          <w:lang w:val="en-US" w:eastAsia="zh-CN"/>
        </w:rPr>
        <w:t>互质）</w:t>
      </w:r>
    </w:p>
    <w:p w14:paraId="1F82631F">
      <w:pPr>
        <w:numPr>
          <w:ilvl w:val="0"/>
          <w:numId w:val="0"/>
        </w:numPr>
      </w:pPr>
      <w:r>
        <w:drawing>
          <wp:inline distT="0" distB="0" distL="114300" distR="114300">
            <wp:extent cx="4978400" cy="577850"/>
            <wp:effectExtent l="0" t="0" r="0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D8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Some factors influencing uniform distribution of quantization error</w:t>
      </w:r>
    </w:p>
    <w:p w14:paraId="1750EE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1.信号弱（需要引进抖动？）   2.输入频率与采样钟有倍数关系   2.输入信号overload</w:t>
      </w:r>
    </w:p>
    <w:p w14:paraId="456960CF">
      <w:pPr>
        <w:numPr>
          <w:ilvl w:val="0"/>
          <w:numId w:val="0"/>
        </w:numPr>
      </w:pPr>
      <w:r>
        <w:drawing>
          <wp:inline distT="0" distB="0" distL="114300" distR="114300">
            <wp:extent cx="4639310" cy="859155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rcRect b="29088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A9D9">
      <w:pPr>
        <w:numPr>
          <w:ilvl w:val="0"/>
          <w:numId w:val="0"/>
        </w:numPr>
      </w:pPr>
    </w:p>
    <w:p w14:paraId="2CBA9B9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Signal-to-quantization-noise Ratio (SQNR) --&gt;公式预示着，增大b可以增大SQNR</w:t>
      </w:r>
    </w:p>
    <w:p w14:paraId="61D700C4">
      <w:pPr>
        <w:numPr>
          <w:ilvl w:val="0"/>
          <w:numId w:val="0"/>
        </w:numPr>
      </w:pPr>
      <w:r>
        <w:drawing>
          <wp:inline distT="0" distB="0" distL="114300" distR="114300">
            <wp:extent cx="4441190" cy="1000760"/>
            <wp:effectExtent l="0" t="0" r="3810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FF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两个功率都是时间上的平均。信号假设为正弦波，功率是1/2A^2的形式；噪声的方差就是功率（只有在μ=0时成立）。一个需要学习的连续概率分布的例子如下：（1/△ · de</w:t>
      </w:r>
      <w:r>
        <w:rPr>
          <w:rFonts w:hint="eastAsia"/>
          <w:vertAlign w:val="subscript"/>
          <w:lang w:val="en-US" w:eastAsia="zh-CN"/>
        </w:rPr>
        <w:t>q</w:t>
      </w:r>
      <w:r>
        <w:rPr>
          <w:rFonts w:hint="eastAsia"/>
          <w:vertAlign w:val="baseline"/>
          <w:lang w:val="en-US" w:eastAsia="zh-CN"/>
        </w:rPr>
        <w:t>是概率，e</w:t>
      </w:r>
      <w:r>
        <w:rPr>
          <w:rFonts w:hint="eastAsia"/>
          <w:vertAlign w:val="subscript"/>
          <w:lang w:val="en-US" w:eastAsia="zh-CN"/>
        </w:rPr>
        <w:t>q</w:t>
      </w:r>
      <w:r>
        <w:rPr>
          <w:rFonts w:hint="eastAsia"/>
          <w:vertAlign w:val="baseline"/>
          <w:lang w:val="en-US" w:eastAsia="zh-CN"/>
        </w:rPr>
        <w:t>是值</w:t>
      </w:r>
      <w:r>
        <w:rPr>
          <w:rFonts w:hint="eastAsia"/>
          <w:lang w:val="en-US" w:eastAsia="zh-CN"/>
        </w:rPr>
        <w:t>）P = E[X²(t)]  σ² = E[(X - μ)²] = E[X²] - μ²  σ² = E[X²] - 0² = E[X²] = P</w:t>
      </w:r>
    </w:p>
    <w:p w14:paraId="5678C635">
      <w:pPr>
        <w:numPr>
          <w:ilvl w:val="0"/>
          <w:numId w:val="0"/>
        </w:numPr>
      </w:pPr>
      <w:r>
        <w:drawing>
          <wp:inline distT="0" distB="0" distL="114300" distR="114300">
            <wp:extent cx="3166110" cy="1672590"/>
            <wp:effectExtent l="0" t="0" r="8890" b="381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CB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64333D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DAC (discrete to continuous)</w:t>
      </w:r>
    </w:p>
    <w:p w14:paraId="24891A7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插值</w:t>
      </w:r>
    </w:p>
    <w:p w14:paraId="08B797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509520" cy="1238250"/>
            <wp:effectExtent l="0" t="0" r="5080" b="635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8694">
      <w:pPr>
        <w:numPr>
          <w:ilvl w:val="0"/>
          <w:numId w:val="0"/>
        </w:numPr>
      </w:pPr>
      <w:r>
        <w:drawing>
          <wp:inline distT="0" distB="0" distL="114300" distR="114300">
            <wp:extent cx="4255135" cy="1983740"/>
            <wp:effectExtent l="0" t="0" r="12065" b="1016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50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DAC通过矩形脉冲函数（零阶保持）还原数字信号后，频域会出现attenuation，具体公式如下。（non-return-zero）</w:t>
      </w:r>
    </w:p>
    <w:p w14:paraId="38354079">
      <w:pPr>
        <w:numPr>
          <w:ilvl w:val="0"/>
          <w:numId w:val="0"/>
        </w:numPr>
      </w:pPr>
      <w:r>
        <w:drawing>
          <wp:inline distT="0" distB="0" distL="114300" distR="114300">
            <wp:extent cx="2811145" cy="1834515"/>
            <wp:effectExtent l="0" t="0" r="8255" b="698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AF4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Return-zero</w:t>
      </w:r>
    </w:p>
    <w:p w14:paraId="69E26DA2">
      <w:pPr>
        <w:numPr>
          <w:ilvl w:val="0"/>
          <w:numId w:val="0"/>
        </w:numPr>
      </w:pPr>
      <w:r>
        <w:drawing>
          <wp:inline distT="0" distB="0" distL="114300" distR="114300">
            <wp:extent cx="2903855" cy="1864360"/>
            <wp:effectExtent l="0" t="0" r="4445" b="254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40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重点优势和劣势：</w:t>
      </w:r>
    </w:p>
    <w:p w14:paraId="4DBBAA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Advantage：少高频噪声，对时间抖动低敏感</w:t>
      </w:r>
    </w:p>
    <w:p w14:paraId="1B5CFF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Disadvantage：因为是连续变化的，在两个电平的过渡间需要时间</w:t>
      </w:r>
    </w:p>
    <w:p w14:paraId="2BED3388">
      <w:pPr>
        <w:numPr>
          <w:ilvl w:val="0"/>
          <w:numId w:val="0"/>
        </w:numPr>
      </w:pPr>
      <w:r>
        <w:drawing>
          <wp:inline distT="0" distB="0" distL="114300" distR="114300">
            <wp:extent cx="3151505" cy="2044065"/>
            <wp:effectExtent l="0" t="0" r="10795" b="63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F557">
      <w:pPr>
        <w:numPr>
          <w:ilvl w:val="0"/>
          <w:numId w:val="0"/>
        </w:numPr>
      </w:pPr>
    </w:p>
    <w:p w14:paraId="50B46A75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Data Converter Performance Metrics</w:t>
      </w:r>
    </w:p>
    <w:p w14:paraId="0A561982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(这里讨论的是converter的固有性质，与上面的误差不同)</w:t>
      </w:r>
    </w:p>
    <w:p w14:paraId="12449160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Static metrics</w:t>
      </w:r>
    </w:p>
    <w:p w14:paraId="0AF08FFC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Linearity</w:t>
      </w:r>
    </w:p>
    <w:p w14:paraId="6B618677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Offset and Gain Error</w:t>
      </w:r>
    </w:p>
    <w:p w14:paraId="788CE6C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LSB(least significant bit,最低有效位--&gt;可以指任何单位的最小有效位)。Offset（失调误差--》物理意义：传递特性曲线的垂直偏差）是起始点的偏差，gain error（增益误差--》物理意义：传递特性曲线斜率偏差）是移除起始点偏差后，终点的偏差。</w:t>
      </w:r>
    </w:p>
    <w:p w14:paraId="355076A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55950" cy="1188085"/>
            <wp:effectExtent l="0" t="0" r="6350" b="571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38120" cy="1988185"/>
            <wp:effectExtent l="0" t="0" r="5080" b="571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CD6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201795" cy="1302385"/>
            <wp:effectExtent l="0" t="0" r="1905" b="571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0D63">
      <w:pPr>
        <w:numPr>
          <w:ilvl w:val="0"/>
          <w:numId w:val="0"/>
        </w:num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Non-linearity</w:t>
      </w:r>
    </w:p>
    <w:p w14:paraId="617EC58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DNL（描述每一步的deviation）</w:t>
      </w:r>
    </w:p>
    <w:p w14:paraId="716C07D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 DNL</w:t>
      </w:r>
    </w:p>
    <w:p w14:paraId="291036E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理想情况下，每个电平的宽度（步长）是一致的，但是现实中无法做到--&gt;DNL</w:t>
      </w:r>
    </w:p>
    <w:p w14:paraId="06E7F8C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780790" cy="1488440"/>
            <wp:effectExtent l="0" t="0" r="3810" b="1016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55F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759835" cy="1538605"/>
            <wp:effectExtent l="0" t="0" r="12065" b="10795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636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03015" cy="1259840"/>
            <wp:effectExtent l="0" t="0" r="6985" b="1016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EF6B1">
      <w:pPr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DNL = -1意味着w(k) = 0, 所以失去了一些中间编码</w:t>
      </w:r>
      <w:r>
        <w:rPr>
          <w:rFonts w:hint="eastAsia"/>
          <w:lang w:eastAsia="zh-CN"/>
        </w:rPr>
        <w:t>）</w:t>
      </w:r>
    </w:p>
    <w:p w14:paraId="438517B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DAC DNL</w:t>
      </w:r>
    </w:p>
    <w:p w14:paraId="4E7F229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214880" cy="1880235"/>
            <wp:effectExtent l="0" t="0" r="7620" b="1206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3910" cy="2164080"/>
            <wp:effectExtent l="0" t="0" r="8890" b="762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6033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ADC的非线性是横跨度不均匀，DAC是纵向跨度不均匀</w:t>
      </w:r>
    </w:p>
    <w:p w14:paraId="3798FBD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Situation of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DNL &lt; -1</w:t>
      </w:r>
      <w:r>
        <w:rPr>
          <w:rFonts w:hint="default"/>
          <w:lang w:val="en-US" w:eastAsia="zh-CN"/>
        </w:rPr>
        <w:t>”</w:t>
      </w:r>
    </w:p>
    <w:p w14:paraId="19092B9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Non-Monotonic ADC/DAC(非单调)</w:t>
      </w:r>
    </w:p>
    <w:p w14:paraId="6FF8D2C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如果ADC Non-monotonic就会出现ill-defined的情况</w:t>
      </w:r>
    </w:p>
    <w:p w14:paraId="62411C2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359910" cy="2110105"/>
            <wp:effectExtent l="0" t="0" r="8890" b="10795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F39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C77BE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E28EF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819C5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04344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915953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3E741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0B28D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5A95A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EDBCF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782E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EAB72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8DAAD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3B4CD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3D7D7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786B4E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C06B4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86097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8FADF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INL（描述总体的deviation）</w:t>
      </w:r>
    </w:p>
    <w:p w14:paraId="5C4309F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17315" cy="1933575"/>
            <wp:effectExtent l="0" t="0" r="6985" b="952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032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均以D为不变量，用真实值于理想值作比较。</w:t>
      </w:r>
    </w:p>
    <w:p w14:paraId="61D627B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 INL Example（记住以INL（1）与INL（9）为基准？）</w:t>
      </w:r>
    </w:p>
    <w:p w14:paraId="0B472CD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545330" cy="2159000"/>
            <wp:effectExtent l="0" t="0" r="1270" b="0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E514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INL与DNL的关系，以及根据INL衡量非线性</w:t>
      </w:r>
    </w:p>
    <w:p w14:paraId="45AF26C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191635" cy="2900680"/>
            <wp:effectExtent l="0" t="0" r="12065" b="762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166B">
      <w:pPr>
        <w:numPr>
          <w:ilvl w:val="0"/>
          <w:numId w:val="0"/>
        </w:numPr>
        <w:jc w:val="both"/>
      </w:pPr>
    </w:p>
    <w:p w14:paraId="2F4CF5CE">
      <w:pPr>
        <w:numPr>
          <w:ilvl w:val="0"/>
          <w:numId w:val="0"/>
        </w:numPr>
        <w:jc w:val="both"/>
      </w:pPr>
    </w:p>
    <w:p w14:paraId="1246AFDD">
      <w:pPr>
        <w:numPr>
          <w:ilvl w:val="0"/>
          <w:numId w:val="0"/>
        </w:numPr>
        <w:jc w:val="both"/>
      </w:pPr>
    </w:p>
    <w:p w14:paraId="41F0DB51">
      <w:pPr>
        <w:numPr>
          <w:ilvl w:val="0"/>
          <w:numId w:val="0"/>
        </w:numPr>
        <w:jc w:val="both"/>
      </w:pPr>
    </w:p>
    <w:p w14:paraId="392D57FC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重要衡量指标，INL、DNL∈[-1,1]LSB</w:t>
      </w:r>
    </w:p>
    <w:p w14:paraId="4EF8135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673475" cy="2541270"/>
            <wp:effectExtent l="0" t="0" r="9525" b="1143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9FB7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Spectral metrics</w:t>
      </w:r>
    </w:p>
    <w:p w14:paraId="37073BC0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仿真信号检测</w:t>
      </w:r>
    </w:p>
    <w:p w14:paraId="59C40A1F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230" cy="760730"/>
            <wp:effectExtent l="0" t="0" r="1270" b="1270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C753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Spectral metrics</w:t>
      </w:r>
    </w:p>
    <w:p w14:paraId="3BCF182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273550" cy="2425700"/>
            <wp:effectExtent l="0" t="0" r="6350" b="0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A4CF">
      <w:pPr>
        <w:numPr>
          <w:ilvl w:val="0"/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以上指标的详细解析：</w:t>
      </w:r>
    </w:p>
    <w:p w14:paraId="57369838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1. SNR (Signal-to-Noise Ratio) - 信噪比</w:t>
      </w:r>
    </w:p>
    <w:p w14:paraId="5F56B9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定义</w:t>
      </w:r>
      <w:r>
        <w:rPr>
          <w:sz w:val="20"/>
          <w:szCs w:val="22"/>
        </w:rPr>
        <w:t>：信号功率与噪声功率的比值</w:t>
      </w:r>
    </w:p>
    <w:p w14:paraId="278487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计算</w:t>
      </w:r>
      <w:r>
        <w:rPr>
          <w:sz w:val="20"/>
          <w:szCs w:val="22"/>
        </w:rPr>
        <w:t>：SNR = 20log₁₀(信号幅度/噪声幅度) [dB]</w:t>
      </w:r>
    </w:p>
    <w:p w14:paraId="1AF30A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物理意义</w:t>
      </w:r>
      <w:r>
        <w:rPr>
          <w:sz w:val="20"/>
          <w:szCs w:val="22"/>
        </w:rPr>
        <w:t>：衡量系统的本底噪声性能</w:t>
      </w:r>
    </w:p>
    <w:p w14:paraId="2C23CD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理想值</w:t>
      </w:r>
      <w:r>
        <w:rPr>
          <w:sz w:val="20"/>
          <w:szCs w:val="22"/>
        </w:rPr>
        <w:t>：对于n位ADC，理论最大SNR ≈ 6.02n + 1.76 dB</w:t>
      </w:r>
    </w:p>
    <w:p w14:paraId="1CC7EE0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 SNDR/SINAD - 信号与(噪声+失真)比</w:t>
      </w:r>
    </w:p>
    <w:p w14:paraId="3DBE0B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定义</w:t>
      </w:r>
      <w:r>
        <w:rPr>
          <w:sz w:val="20"/>
          <w:szCs w:val="22"/>
        </w:rPr>
        <w:t>：信号功率与所有其他频率分量功率之和的比值</w:t>
      </w:r>
    </w:p>
    <w:p w14:paraId="7AD92E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区别于SNR</w:t>
      </w:r>
      <w:r>
        <w:rPr>
          <w:sz w:val="20"/>
          <w:szCs w:val="22"/>
        </w:rPr>
        <w:t>：包含了谐波失真的影响</w:t>
      </w:r>
    </w:p>
    <w:p w14:paraId="58DD2D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实际意义</w:t>
      </w:r>
      <w:r>
        <w:rPr>
          <w:sz w:val="20"/>
          <w:szCs w:val="22"/>
        </w:rPr>
        <w:t>：更全面地反映系统的实际可用动态范围</w:t>
      </w:r>
    </w:p>
    <w:p w14:paraId="00A7E53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 ENOB (Effective Number of Bits) - 有效位数</w:t>
      </w:r>
    </w:p>
    <w:p w14:paraId="4DF5A2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计算</w:t>
      </w:r>
      <w:r>
        <w:rPr>
          <w:sz w:val="20"/>
          <w:szCs w:val="22"/>
        </w:rPr>
        <w:t>：ENOB = (SNDR - 1.76) / 6.02</w:t>
      </w:r>
    </w:p>
    <w:p w14:paraId="72B662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物理意义</w:t>
      </w:r>
      <w:r>
        <w:rPr>
          <w:sz w:val="20"/>
          <w:szCs w:val="22"/>
        </w:rPr>
        <w:t>：考虑所有非理想性后，等效的理想ADC位数</w:t>
      </w:r>
    </w:p>
    <w:p w14:paraId="29707E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例子</w:t>
      </w:r>
      <w:r>
        <w:rPr>
          <w:sz w:val="20"/>
          <w:szCs w:val="22"/>
        </w:rPr>
        <w:t>：12位ADC的ENOB可能只有10.5位</w:t>
      </w:r>
    </w:p>
    <w:p w14:paraId="79F528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2816860" cy="2411095"/>
            <wp:effectExtent l="0" t="0" r="2540" b="1905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6365" cy="1821815"/>
            <wp:effectExtent l="0" t="0" r="635" b="6985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F4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4147820" cy="1536065"/>
            <wp:effectExtent l="0" t="0" r="5080" b="63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D2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  <w:r>
        <w:drawing>
          <wp:inline distT="0" distB="0" distL="114300" distR="114300">
            <wp:extent cx="3716020" cy="1772920"/>
            <wp:effectExtent l="0" t="0" r="5080" b="508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7C5B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4. DR (Dynamic Range) - 动态范围</w:t>
      </w:r>
    </w:p>
    <w:p w14:paraId="65C0CF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定义</w:t>
      </w:r>
      <w:r>
        <w:rPr>
          <w:sz w:val="20"/>
          <w:szCs w:val="22"/>
        </w:rPr>
        <w:t>：最大输入信号与噪声基底的比值</w:t>
      </w:r>
    </w:p>
    <w:p w14:paraId="630347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测量方法</w:t>
      </w:r>
      <w:r>
        <w:rPr>
          <w:sz w:val="20"/>
          <w:szCs w:val="22"/>
        </w:rPr>
        <w:t>：通常用-60dBFS的小信号测试</w:t>
      </w:r>
    </w:p>
    <w:p w14:paraId="0B6B55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应用</w:t>
      </w:r>
      <w:r>
        <w:rPr>
          <w:sz w:val="20"/>
          <w:szCs w:val="22"/>
        </w:rPr>
        <w:t>：衡量系统处理微弱信号的能力</w:t>
      </w:r>
    </w:p>
    <w:p w14:paraId="2965083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drawing>
          <wp:inline distT="0" distB="0" distL="114300" distR="114300">
            <wp:extent cx="3675380" cy="2151380"/>
            <wp:effectExtent l="0" t="0" r="7620" b="7620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0D5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5. SFDR (Spurious Free Dynamic Range) - 无杂散动态范围</w:t>
      </w:r>
    </w:p>
    <w:p w14:paraId="2510E8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定义</w:t>
      </w:r>
      <w:r>
        <w:rPr>
          <w:sz w:val="20"/>
          <w:szCs w:val="22"/>
        </w:rPr>
        <w:t>：信号幅度与最大杂散信号幅度的比值</w:t>
      </w:r>
    </w:p>
    <w:p w14:paraId="6CA9EC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重要性</w:t>
      </w:r>
      <w:r>
        <w:rPr>
          <w:sz w:val="20"/>
          <w:szCs w:val="22"/>
        </w:rPr>
        <w:t>：对于通信系统特别关键</w:t>
      </w:r>
    </w:p>
    <w:p w14:paraId="0202E5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测量</w:t>
      </w:r>
      <w:r>
        <w:rPr>
          <w:sz w:val="20"/>
          <w:szCs w:val="22"/>
        </w:rPr>
        <w:t>：找到频谱中最大的杂散峰值</w:t>
      </w:r>
    </w:p>
    <w:p w14:paraId="4D10A4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0"/>
          <w:szCs w:val="22"/>
        </w:rPr>
      </w:pPr>
      <w:r>
        <w:drawing>
          <wp:inline distT="0" distB="0" distL="114300" distR="114300">
            <wp:extent cx="3380740" cy="1802765"/>
            <wp:effectExtent l="0" t="0" r="10160" b="63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D14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6. THD (Total Harmonic Distortion) - 总谐波失真</w:t>
      </w:r>
    </w:p>
    <w:p w14:paraId="3F4D5B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计算</w:t>
      </w:r>
      <w:r>
        <w:rPr>
          <w:sz w:val="20"/>
          <w:szCs w:val="22"/>
        </w:rPr>
        <w:t>：THD = √(V₂² + V₃² + V₄² + ...) / V₁</w:t>
      </w:r>
    </w:p>
    <w:p w14:paraId="4EC757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物理原因</w:t>
      </w:r>
      <w:r>
        <w:rPr>
          <w:sz w:val="20"/>
          <w:szCs w:val="22"/>
        </w:rPr>
        <w:t>：ADC/DAC的非线性特性</w:t>
      </w:r>
    </w:p>
    <w:p w14:paraId="1FDA68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表示方法</w:t>
      </w:r>
      <w:r>
        <w:rPr>
          <w:sz w:val="20"/>
          <w:szCs w:val="22"/>
        </w:rPr>
        <w:t>：通常用dBc（相对于载波的dB值）</w:t>
      </w:r>
    </w:p>
    <w:p w14:paraId="72BCD6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0"/>
          <w:szCs w:val="22"/>
        </w:rPr>
      </w:pPr>
      <w:r>
        <w:drawing>
          <wp:inline distT="0" distB="0" distL="114300" distR="114300">
            <wp:extent cx="3539490" cy="1896110"/>
            <wp:effectExtent l="0" t="0" r="3810" b="889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0DE2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7. ERBW (Effective Resolution Bandwidth) - 有效分辨率带宽</w:t>
      </w:r>
    </w:p>
    <w:p w14:paraId="3D47E2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定义</w:t>
      </w:r>
      <w:r>
        <w:rPr>
          <w:sz w:val="20"/>
          <w:szCs w:val="22"/>
        </w:rPr>
        <w:t>：考虑窗函数影响后的实际频率分辨率</w:t>
      </w:r>
    </w:p>
    <w:p w14:paraId="1D422D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影响因素</w:t>
      </w:r>
      <w:r>
        <w:rPr>
          <w:sz w:val="20"/>
          <w:szCs w:val="22"/>
        </w:rPr>
        <w:t>：FFT长度、窗函数类型</w:t>
      </w:r>
    </w:p>
    <w:p w14:paraId="460C83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实际应用</w:t>
      </w:r>
      <w:r>
        <w:rPr>
          <w:sz w:val="20"/>
          <w:szCs w:val="22"/>
        </w:rPr>
        <w:t>：确定频谱分析的精度</w:t>
      </w:r>
    </w:p>
    <w:p w14:paraId="699628D5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8. IMD (Intermodulation Distortion) - 互调失真</w:t>
      </w:r>
    </w:p>
    <w:p w14:paraId="6003B3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测试方法</w:t>
      </w:r>
      <w:r>
        <w:rPr>
          <w:sz w:val="20"/>
          <w:szCs w:val="22"/>
        </w:rPr>
        <w:t>：输入两个不同频率的正弦波</w:t>
      </w:r>
    </w:p>
    <w:p w14:paraId="23B4C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产生机制</w:t>
      </w:r>
      <w:r>
        <w:rPr>
          <w:sz w:val="20"/>
          <w:szCs w:val="22"/>
        </w:rPr>
        <w:t>：非线性系统产生f₁±f₂, 2f₁±f₂等分量</w:t>
      </w:r>
    </w:p>
    <w:p w14:paraId="3F4A31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重要性</w:t>
      </w:r>
      <w:r>
        <w:rPr>
          <w:sz w:val="20"/>
          <w:szCs w:val="22"/>
        </w:rPr>
        <w:t>：多载波通信系统的关键指标</w:t>
      </w:r>
    </w:p>
    <w:p w14:paraId="062B08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sz w:val="20"/>
          <w:szCs w:val="22"/>
        </w:rPr>
      </w:pPr>
      <w:r>
        <w:drawing>
          <wp:inline distT="0" distB="0" distL="114300" distR="114300">
            <wp:extent cx="2477135" cy="3143885"/>
            <wp:effectExtent l="0" t="0" r="12065" b="5715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7135" cy="3160395"/>
            <wp:effectExtent l="0" t="0" r="12065" b="1905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43A6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9. MTPR (Multi-Tone Power Ratio) - 多音功率比</w:t>
      </w:r>
    </w:p>
    <w:p w14:paraId="113EFC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测试信号</w:t>
      </w:r>
      <w:r>
        <w:rPr>
          <w:sz w:val="20"/>
          <w:szCs w:val="22"/>
        </w:rPr>
        <w:t>：多个等幅正弦波组合</w:t>
      </w:r>
    </w:p>
    <w:p w14:paraId="301937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评估内容</w:t>
      </w:r>
      <w:r>
        <w:rPr>
          <w:sz w:val="20"/>
          <w:szCs w:val="22"/>
        </w:rPr>
        <w:t>：系统在复杂多音环境下的线性度</w:t>
      </w:r>
    </w:p>
    <w:p w14:paraId="191EDC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应用场景</w:t>
      </w:r>
      <w:r>
        <w:rPr>
          <w:sz w:val="20"/>
          <w:szCs w:val="22"/>
        </w:rPr>
        <w:t>：OFDM、多载波通信系统</w:t>
      </w:r>
    </w:p>
    <w:p w14:paraId="5CB129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effective resolution bandwidth（ERBW）</w:t>
      </w:r>
    </w:p>
    <w:p w14:paraId="796231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4368165" cy="1733550"/>
            <wp:effectExtent l="0" t="0" r="635" b="6350"/>
            <wp:docPr id="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32C1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指标间的关系</w:t>
      </w:r>
    </w:p>
    <w:p w14:paraId="4CD1C42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SNDR ≤ SNR</w:t>
      </w:r>
      <w:r>
        <w:rPr>
          <w:sz w:val="20"/>
          <w:szCs w:val="22"/>
        </w:rPr>
        <w:t>（失真会降低SNDR）</w:t>
      </w:r>
    </w:p>
    <w:p w14:paraId="55F1C2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ENOB直接由SNDR决定</w:t>
      </w:r>
    </w:p>
    <w:p w14:paraId="777DEA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SFDR关注最坏情况的单个杂散</w:t>
      </w:r>
    </w:p>
    <w:p w14:paraId="0EB8F2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0"/>
          <w:szCs w:val="22"/>
        </w:rPr>
      </w:pPr>
      <w:r>
        <w:rPr>
          <w:rStyle w:val="5"/>
          <w:sz w:val="20"/>
          <w:szCs w:val="22"/>
        </w:rPr>
        <w:t>THD只考虑谐波，IMD考虑互调产物</w:t>
      </w:r>
    </w:p>
    <w:p w14:paraId="1FC3A2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sz w:val="20"/>
          <w:szCs w:val="22"/>
        </w:rPr>
      </w:pPr>
    </w:p>
    <w:p w14:paraId="6537CB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hint="eastAsia"/>
          <w:sz w:val="20"/>
          <w:szCs w:val="22"/>
          <w:lang w:val="en-US" w:eastAsia="zh-CN"/>
        </w:rPr>
      </w:pPr>
      <w:r>
        <w:rPr>
          <w:rStyle w:val="5"/>
          <w:rFonts w:hint="eastAsia"/>
          <w:sz w:val="20"/>
          <w:szCs w:val="22"/>
          <w:lang w:val="en-US" w:eastAsia="zh-CN"/>
        </w:rPr>
        <w:t>Testing system</w:t>
      </w:r>
    </w:p>
    <w:p w14:paraId="6C9C49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5"/>
          <w:rFonts w:hint="default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3789680" cy="2002790"/>
            <wp:effectExtent l="0" t="0" r="7620" b="3810"/>
            <wp:docPr id="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6E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drawing>
          <wp:inline distT="0" distB="0" distL="114300" distR="114300">
            <wp:extent cx="3304540" cy="3166745"/>
            <wp:effectExtent l="0" t="0" r="10160" b="8255"/>
            <wp:docPr id="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9EA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1C718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A161DD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几种傅里叶变换的区别（ADC频域检测使用的是离散傅里叶变换）</w:t>
      </w:r>
    </w:p>
    <w:p w14:paraId="285D383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271520" cy="2241550"/>
            <wp:effectExtent l="0" t="0" r="5080" b="6350"/>
            <wp:docPr id="3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02E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71545" cy="3453765"/>
            <wp:effectExtent l="0" t="0" r="8255" b="635"/>
            <wp:docPr id="4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4A7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关于作频域图的一些注意点：</w:t>
      </w:r>
    </w:p>
    <w:p w14:paraId="0BEC832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33495" cy="2449195"/>
            <wp:effectExtent l="0" t="0" r="1905" b="190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87F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dBFS = dB relative to Full Scale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0dBFS为最大</w:t>
      </w:r>
    </w:p>
    <w:p w14:paraId="6316ADB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频谱泄露</w:t>
      </w:r>
    </w:p>
    <w:p w14:paraId="6FCB1C4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50590" cy="3022600"/>
            <wp:effectExtent l="0" t="0" r="3810" b="0"/>
            <wp:docPr id="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E2F1">
      <w:pPr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由前面可知，DFT只能表示出fs/N</w:t>
      </w:r>
      <w:r>
        <w:rPr>
          <w:rFonts w:hint="eastAsia"/>
          <w:highlight w:val="yellow"/>
          <w:lang w:val="en-US" w:eastAsia="zh-CN"/>
        </w:rPr>
        <w:t>整数倍</w:t>
      </w:r>
      <w:r>
        <w:rPr>
          <w:rFonts w:hint="eastAsia"/>
          <w:lang w:val="en-US" w:eastAsia="zh-CN"/>
        </w:rPr>
        <w:t>的频率网格，如果f</w:t>
      </w:r>
      <w:r>
        <w:rPr>
          <w:rFonts w:hint="eastAsia"/>
          <w:vertAlign w:val="subscript"/>
          <w:lang w:val="en-US" w:eastAsia="zh-CN"/>
        </w:rPr>
        <w:t>in</w:t>
      </w:r>
      <w:r>
        <w:rPr>
          <w:rFonts w:hint="eastAsia"/>
          <w:vertAlign w:val="baseline"/>
          <w:lang w:val="en-US" w:eastAsia="zh-CN"/>
        </w:rPr>
        <w:t>不在网格上，频率能量就会往两侧的网格泄露。如上右图，因为除了最高点的网格线，其他网格线也有值。</w:t>
      </w:r>
    </w:p>
    <w:p w14:paraId="3CF35F3A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ascii="Calibri" w:hAnsi="Calibri" w:eastAsia="宋体" w:cs="Calibri"/>
          <w:color w:val="000000"/>
          <w:kern w:val="0"/>
          <w:sz w:val="40"/>
          <w:szCs w:val="40"/>
          <w:highlight w:val="yellow"/>
          <w:lang w:val="en-US" w:eastAsia="zh-CN" w:bidi="ar"/>
        </w:rPr>
        <w:t xml:space="preserve">2 ways to solve this problem </w:t>
      </w:r>
    </w:p>
    <w:p w14:paraId="7EADE707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Calibri" w:hAnsi="Calibri" w:eastAsia="宋体" w:cs="Calibri"/>
          <w:color w:val="000000"/>
          <w:kern w:val="0"/>
          <w:sz w:val="40"/>
          <w:szCs w:val="40"/>
          <w:highlight w:val="yellow"/>
          <w:lang w:val="en-US" w:eastAsia="zh-CN" w:bidi="ar"/>
        </w:rPr>
        <w:t xml:space="preserve">– Ensure integer number of cycles </w:t>
      </w:r>
      <w:r>
        <w:rPr>
          <w:rFonts w:hint="eastAsia" w:ascii="Calibri" w:hAnsi="Calibri" w:eastAsia="宋体" w:cs="Calibri"/>
          <w:color w:val="000000"/>
          <w:kern w:val="0"/>
          <w:sz w:val="40"/>
          <w:szCs w:val="40"/>
          <w:highlight w:val="yellow"/>
          <w:lang w:val="en-US" w:eastAsia="zh-CN" w:bidi="ar"/>
        </w:rPr>
        <w:t>（相干采样）</w:t>
      </w:r>
    </w:p>
    <w:p w14:paraId="23A9696E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default" w:ascii="Calibri" w:hAnsi="Calibri" w:eastAsia="宋体" w:cs="Calibri"/>
          <w:color w:val="000000"/>
          <w:kern w:val="0"/>
          <w:sz w:val="40"/>
          <w:szCs w:val="40"/>
          <w:highlight w:val="yellow"/>
          <w:lang w:val="en-US" w:eastAsia="zh-CN" w:bidi="ar"/>
        </w:rPr>
        <w:t>– Use other window functions with smaller side lobes</w:t>
      </w:r>
    </w:p>
    <w:p w14:paraId="198543E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519045" cy="1972945"/>
            <wp:effectExtent l="0" t="0" r="8255" b="8255"/>
            <wp:docPr id="4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7315" cy="2106930"/>
            <wp:effectExtent l="0" t="0" r="6985" b="1270"/>
            <wp:docPr id="4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60D5">
      <w:pPr>
        <w:numPr>
          <w:ilvl w:val="0"/>
          <w:numId w:val="0"/>
        </w:numPr>
        <w:jc w:val="both"/>
      </w:pPr>
    </w:p>
    <w:p w14:paraId="4B8BB3B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835910" cy="1143000"/>
            <wp:effectExtent l="0" t="0" r="8890" b="0"/>
            <wp:docPr id="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6AB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11220" cy="443865"/>
            <wp:effectExtent l="0" t="0" r="5080" b="635"/>
            <wp:docPr id="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3B3B">
      <w:pPr>
        <w:numPr>
          <w:ilvl w:val="0"/>
          <w:numId w:val="0"/>
        </w:numPr>
        <w:jc w:val="both"/>
      </w:pPr>
    </w:p>
    <w:p w14:paraId="07692F14">
      <w:pPr>
        <w:numPr>
          <w:ilvl w:val="0"/>
          <w:numId w:val="0"/>
        </w:numPr>
        <w:jc w:val="both"/>
      </w:pPr>
    </w:p>
    <w:p w14:paraId="025F2BDA">
      <w:pPr>
        <w:numPr>
          <w:ilvl w:val="0"/>
          <w:numId w:val="0"/>
        </w:numPr>
        <w:jc w:val="both"/>
      </w:pPr>
    </w:p>
    <w:p w14:paraId="1FB115A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576830" cy="3001010"/>
            <wp:effectExtent l="0" t="0" r="1270" b="8890"/>
            <wp:docPr id="4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5736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一些例子：</w:t>
      </w:r>
    </w:p>
    <w:p w14:paraId="54B3C44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503805" cy="2276475"/>
            <wp:effectExtent l="0" t="0" r="10795" b="9525"/>
            <wp:docPr id="4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36850" cy="2288540"/>
            <wp:effectExtent l="0" t="0" r="6350" b="10160"/>
            <wp:docPr id="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EC68D">
      <w:pPr>
        <w:numPr>
          <w:ilvl w:val="0"/>
          <w:numId w:val="0"/>
        </w:numPr>
        <w:jc w:val="both"/>
      </w:pPr>
    </w:p>
    <w:p w14:paraId="27D5D9CB">
      <w:pPr>
        <w:numPr>
          <w:ilvl w:val="0"/>
          <w:numId w:val="0"/>
        </w:numPr>
        <w:jc w:val="both"/>
      </w:pPr>
    </w:p>
    <w:p w14:paraId="6D74C176">
      <w:pPr>
        <w:numPr>
          <w:ilvl w:val="0"/>
          <w:numId w:val="0"/>
        </w:numPr>
        <w:jc w:val="both"/>
      </w:pPr>
    </w:p>
    <w:p w14:paraId="2DF90CC2">
      <w:pPr>
        <w:numPr>
          <w:ilvl w:val="0"/>
          <w:numId w:val="0"/>
        </w:numPr>
        <w:jc w:val="both"/>
      </w:pPr>
    </w:p>
    <w:p w14:paraId="145FF18F">
      <w:pPr>
        <w:numPr>
          <w:ilvl w:val="0"/>
          <w:numId w:val="0"/>
        </w:numPr>
        <w:jc w:val="both"/>
      </w:pPr>
    </w:p>
    <w:p w14:paraId="0C26AFA7">
      <w:pPr>
        <w:numPr>
          <w:ilvl w:val="0"/>
          <w:numId w:val="0"/>
        </w:numPr>
        <w:jc w:val="both"/>
      </w:pPr>
    </w:p>
    <w:p w14:paraId="699DBFE9">
      <w:pPr>
        <w:numPr>
          <w:ilvl w:val="0"/>
          <w:numId w:val="0"/>
        </w:numPr>
        <w:jc w:val="both"/>
      </w:pPr>
    </w:p>
    <w:p w14:paraId="5D0E3A6C">
      <w:pPr>
        <w:numPr>
          <w:ilvl w:val="0"/>
          <w:numId w:val="0"/>
        </w:numPr>
        <w:jc w:val="both"/>
      </w:pPr>
    </w:p>
    <w:p w14:paraId="1F7C0CFF">
      <w:pPr>
        <w:numPr>
          <w:ilvl w:val="0"/>
          <w:numId w:val="0"/>
        </w:numPr>
        <w:jc w:val="both"/>
      </w:pPr>
    </w:p>
    <w:p w14:paraId="4C745D74">
      <w:pPr>
        <w:numPr>
          <w:ilvl w:val="0"/>
          <w:numId w:val="0"/>
        </w:numPr>
        <w:jc w:val="both"/>
      </w:pPr>
    </w:p>
    <w:p w14:paraId="3BE607B9">
      <w:pPr>
        <w:numPr>
          <w:ilvl w:val="0"/>
          <w:numId w:val="0"/>
        </w:numPr>
        <w:jc w:val="both"/>
      </w:pPr>
    </w:p>
    <w:p w14:paraId="1B91C0E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00DCF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495AE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82889A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A97B95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两种方法的优劣对比</w:t>
      </w:r>
    </w:p>
    <w:p w14:paraId="74E2441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60115" cy="2592070"/>
            <wp:effectExtent l="0" t="0" r="6985" b="11430"/>
            <wp:docPr id="4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CA0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SNQR的获取</w:t>
      </w:r>
    </w:p>
    <w:p w14:paraId="7320289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58845" cy="2400300"/>
            <wp:effectExtent l="0" t="0" r="8255" b="0"/>
            <wp:docPr id="5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BB8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485515" cy="471170"/>
            <wp:effectExtent l="0" t="0" r="6985" b="11430"/>
            <wp:docPr id="5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E78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16985" cy="2138045"/>
            <wp:effectExtent l="0" t="0" r="5715" b="8255"/>
            <wp:docPr id="5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1409">
      <w:pPr>
        <w:numPr>
          <w:ilvl w:val="0"/>
          <w:numId w:val="0"/>
        </w:numPr>
        <w:jc w:val="both"/>
      </w:pPr>
    </w:p>
    <w:p w14:paraId="4BF1CCA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675380" cy="2334895"/>
            <wp:effectExtent l="0" t="0" r="7620" b="1905"/>
            <wp:docPr id="5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C6F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（依旧是前面e</w:t>
      </w:r>
      <w:r>
        <w:rPr>
          <w:rFonts w:hint="eastAsia"/>
          <w:vertAlign w:val="subscript"/>
          <w:lang w:val="en-US" w:eastAsia="zh-CN"/>
        </w:rPr>
        <w:t>q</w:t>
      </w:r>
      <w:r>
        <w:rPr>
          <w:rFonts w:hint="eastAsia"/>
          <w:vertAlign w:val="baseline"/>
          <w:lang w:val="en-US" w:eastAsia="zh-CN"/>
        </w:rPr>
        <w:t>误差</w:t>
      </w:r>
      <w:r>
        <w:rPr>
          <w:rFonts w:hint="eastAsia"/>
          <w:lang w:val="en-US" w:eastAsia="zh-CN"/>
        </w:rPr>
        <w:t>整数倍的问题）</w:t>
      </w:r>
    </w:p>
    <w:p w14:paraId="446BD1D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SNR Degradation due to DNL</w:t>
      </w:r>
    </w:p>
    <w:p w14:paraId="4A67AD0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bit ADC</w:t>
      </w:r>
    </w:p>
    <w:p w14:paraId="4359B18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Transition level 在下面例子中本应该是0</w:t>
      </w:r>
    </w:p>
    <w:p w14:paraId="2DFA200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381500" cy="1609725"/>
            <wp:effectExtent l="0" t="0" r="0" b="3175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975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为什么上例选择±0.5（区间中点）作量化值--&gt;</w:t>
      </w:r>
    </w:p>
    <w:p w14:paraId="04A0188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909060" cy="2997835"/>
            <wp:effectExtent l="0" t="0" r="2540" b="12065"/>
            <wp:docPr id="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FB8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Multi-bit ADC</w:t>
      </w:r>
    </w:p>
    <w:p w14:paraId="18D61D0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144010" cy="2868295"/>
            <wp:effectExtent l="0" t="0" r="8890" b="1905"/>
            <wp:docPr id="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A0E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52169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876550" cy="2338705"/>
            <wp:effectExtent l="0" t="0" r="6350" b="10795"/>
            <wp:docPr id="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5EA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δ是和每一个理想电平的误差</w:t>
      </w:r>
    </w:p>
    <w:p w14:paraId="29D1A1E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533900" cy="2851150"/>
            <wp:effectExtent l="0" t="0" r="0" b="6350"/>
            <wp:docPr id="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C7C7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1042D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5DD7DF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2EF90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03D689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B756D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179D9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18D27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561CE8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73A87C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8FD07F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F1AFEF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27C334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0FF195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E1080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DF1CD70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6CDA6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ADC校准</w:t>
      </w:r>
    </w:p>
    <w:p w14:paraId="210BC2FA">
      <w:pPr>
        <w:numPr>
          <w:ilvl w:val="0"/>
          <w:numId w:val="1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“权重校准”详细见ADC工作物理结构</w:t>
      </w:r>
    </w:p>
    <w:p w14:paraId="7A05CE35">
      <w:pPr>
        <w:numPr>
          <w:ilvl w:val="0"/>
          <w:numId w:val="1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“Dither校准”</w:t>
      </w:r>
    </w:p>
    <w:p w14:paraId="42002D6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008880" cy="2572385"/>
            <wp:effectExtent l="0" t="0" r="7620" b="5715"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C3A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598930"/>
            <wp:effectExtent l="0" t="0" r="1270" b="1270"/>
            <wp:docPr id="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50D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8755" cy="2527935"/>
            <wp:effectExtent l="0" t="0" r="4445" b="12065"/>
            <wp:docPr id="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3B9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75860" cy="2552065"/>
            <wp:effectExtent l="0" t="0" r="2540" b="635"/>
            <wp:docPr id="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198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979035" cy="1091565"/>
            <wp:effectExtent l="0" t="0" r="12065" b="635"/>
            <wp:docPr id="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D37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FE997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1248A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Oversampling ADCs（过采样的作用</w:t>
      </w:r>
      <w:bookmarkStart w:id="0" w:name="_GoBack"/>
      <w:bookmarkEnd w:id="0"/>
      <w:r>
        <w:rPr>
          <w:rFonts w:hint="eastAsia"/>
          <w:lang w:val="en-US" w:eastAsia="zh-CN"/>
        </w:rPr>
        <w:t>在于，虽然我过采样了，但我还是选择原来的奈圭斯特区）</w:t>
      </w:r>
    </w:p>
    <w:p w14:paraId="1BE276EA">
      <w:pPr>
        <w:numPr>
          <w:ilvl w:val="0"/>
          <w:numId w:val="0"/>
        </w:numPr>
        <w:jc w:val="both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在fs/2频域内，总量化误差为△^2/12，由时域频域能量相等（parseval theorem），得出能量密度函数。fs越大，在f</w:t>
      </w:r>
      <w:r>
        <w:rPr>
          <w:rFonts w:hint="eastAsia"/>
          <w:vertAlign w:val="subscript"/>
          <w:lang w:val="en-US" w:eastAsia="zh-CN"/>
        </w:rPr>
        <w:t>b</w:t>
      </w:r>
      <w:r>
        <w:rPr>
          <w:rFonts w:hint="eastAsia"/>
          <w:vertAlign w:val="baseline"/>
          <w:lang w:val="en-US" w:eastAsia="zh-CN"/>
        </w:rPr>
        <w:t>内的噪声就越少。</w:t>
      </w:r>
    </w:p>
    <w:p w14:paraId="4681B25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3868420"/>
            <wp:effectExtent l="0" t="0" r="635" b="5080"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610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247515" cy="2129155"/>
            <wp:effectExtent l="0" t="0" r="6985" b="4445"/>
            <wp:docPr id="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011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274185" cy="1359535"/>
            <wp:effectExtent l="0" t="0" r="5715" b="12065"/>
            <wp:docPr id="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9D2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016500" cy="2000250"/>
            <wp:effectExtent l="0" t="0" r="0" b="6350"/>
            <wp:docPr id="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D773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改进方法——噪声整形（noise shaping）</w:t>
      </w:r>
    </w:p>
    <w:p w14:paraId="7EA285C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862195" cy="2792095"/>
            <wp:effectExtent l="0" t="0" r="1905" b="1905"/>
            <wp:docPr id="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396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声整形过程：在信号参与量化前，先乘一个传递函数，然后量化过程中，乘另一个传递函数，使得两函数的乘积约等于1（防止原信号overload），而后乘进去的函数，让量化误差衰减。（利用输入信号与量化误差经过的路径长度不同，进行了分开处理）</w:t>
      </w:r>
    </w:p>
    <w:p w14:paraId="0AAAEB9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这里的z是z变换的系数（z变换？？？）</w:t>
      </w:r>
    </w:p>
    <w:p w14:paraId="0462BB1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590415" cy="3826510"/>
            <wp:effectExtent l="0" t="0" r="6985" b="8890"/>
            <wp:docPr id="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DF0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积分器的设计</w:t>
      </w:r>
    </w:p>
    <w:p w14:paraId="1089570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11420" cy="3283585"/>
            <wp:effectExtent l="0" t="0" r="5080" b="5715"/>
            <wp:docPr id="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6BF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68420" cy="3786505"/>
            <wp:effectExtent l="0" t="0" r="5080" b="10795"/>
            <wp:docPr id="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0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21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616450" cy="1866900"/>
            <wp:effectExtent l="0" t="0" r="6350" b="0"/>
            <wp:docPr id="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6875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在z域中讨论能量</w:t>
      </w:r>
    </w:p>
    <w:p w14:paraId="66925F9C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010535" cy="2573020"/>
            <wp:effectExtent l="0" t="0" r="12065" b="5080"/>
            <wp:docPr id="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FE8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97630" cy="2484755"/>
            <wp:effectExtent l="0" t="0" r="1270" b="4445"/>
            <wp:docPr id="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E51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E7E46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05CA8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06CA0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F8F4E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31E7B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801C2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48A09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597363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6B8BA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270FFE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D3E3F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4E779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AD21B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C419A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15518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34B59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2A9C8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EEF2F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FD9A8D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EDCA0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DA8C1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AB712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38BA0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07E9D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97E426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A3419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0C1D0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7B32E85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A45381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ABC1E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4600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converter testing</w:t>
      </w:r>
    </w:p>
    <w:p w14:paraId="15ADF21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performance ADC specs</w:t>
      </w:r>
    </w:p>
    <w:p w14:paraId="3C7999C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797935" cy="2901315"/>
            <wp:effectExtent l="0" t="0" r="12065" b="6985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7B09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jitter testing</w:t>
      </w:r>
    </w:p>
    <w:p w14:paraId="26191455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463925" cy="2329180"/>
            <wp:effectExtent l="0" t="0" r="3175" b="7620"/>
            <wp:docPr id="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140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因为RMS noise proportional to input frequency or amplitude,所以可以调试这两个参数去testing</w:t>
      </w:r>
    </w:p>
    <w:p w14:paraId="1603F48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510915" cy="2226310"/>
            <wp:effectExtent l="0" t="0" r="6985" b="8890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838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3EC1E"/>
    <w:multiLevelType w:val="multilevel"/>
    <w:tmpl w:val="8493E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179C03"/>
    <w:multiLevelType w:val="multilevel"/>
    <w:tmpl w:val="88179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9F5BAD"/>
    <w:multiLevelType w:val="multilevel"/>
    <w:tmpl w:val="AD9F5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846921"/>
    <w:multiLevelType w:val="singleLevel"/>
    <w:tmpl w:val="B48469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4A354E1"/>
    <w:multiLevelType w:val="multilevel"/>
    <w:tmpl w:val="C4A354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3FA54F6"/>
    <w:multiLevelType w:val="multilevel"/>
    <w:tmpl w:val="E3FA5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17B62D"/>
    <w:multiLevelType w:val="multilevel"/>
    <w:tmpl w:val="0517B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549C8A0"/>
    <w:multiLevelType w:val="singleLevel"/>
    <w:tmpl w:val="1549C8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5EC8A30"/>
    <w:multiLevelType w:val="singleLevel"/>
    <w:tmpl w:val="45EC8A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529B839"/>
    <w:multiLevelType w:val="multilevel"/>
    <w:tmpl w:val="5529B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EEFF38"/>
    <w:multiLevelType w:val="multilevel"/>
    <w:tmpl w:val="5EEEFF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262417"/>
    <w:multiLevelType w:val="multilevel"/>
    <w:tmpl w:val="692624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2CBA49C"/>
    <w:multiLevelType w:val="singleLevel"/>
    <w:tmpl w:val="72CBA49C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3816924"/>
    <w:multiLevelType w:val="multilevel"/>
    <w:tmpl w:val="73816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13"/>
  </w:num>
  <w:num w:numId="6">
    <w:abstractNumId w:val="11"/>
  </w:num>
  <w:num w:numId="7">
    <w:abstractNumId w:val="6"/>
  </w:num>
  <w:num w:numId="8">
    <w:abstractNumId w:val="10"/>
  </w:num>
  <w:num w:numId="9">
    <w:abstractNumId w:val="9"/>
  </w:num>
  <w:num w:numId="10">
    <w:abstractNumId w:val="4"/>
  </w:num>
  <w:num w:numId="11">
    <w:abstractNumId w:val="0"/>
  </w:num>
  <w:num w:numId="12">
    <w:abstractNumId w:val="12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12932"/>
    <w:rsid w:val="1F1252FC"/>
    <w:rsid w:val="245D2BD6"/>
    <w:rsid w:val="31816651"/>
    <w:rsid w:val="375650A8"/>
    <w:rsid w:val="3ED503B2"/>
    <w:rsid w:val="4EA5093B"/>
    <w:rsid w:val="53134029"/>
    <w:rsid w:val="54C601DB"/>
    <w:rsid w:val="7DF77352"/>
    <w:rsid w:val="7E152D8B"/>
    <w:rsid w:val="7E91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3" Type="http://schemas.openxmlformats.org/officeDocument/2006/relationships/fontTable" Target="fontTable.xml"/><Relationship Id="rId92" Type="http://schemas.openxmlformats.org/officeDocument/2006/relationships/numbering" Target="numbering.xml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2155</Words>
  <Characters>3506</Characters>
  <Lines>0</Lines>
  <Paragraphs>0</Paragraphs>
  <TotalTime>238</TotalTime>
  <ScaleCrop>false</ScaleCrop>
  <LinksUpToDate>false</LinksUpToDate>
  <CharactersWithSpaces>3732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2025-06-18T14:11:00Z</dcterms:created>
  <dc:creator>90590</dc:creator>
  <cp:lastModifiedBy>陈增春(2024013049)</cp:lastModifiedBy>
  <dcterms:modified xsi:type="dcterms:W3CDTF">2025-07-23T08:43:22Z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eyJoZGlkIjoiMjFiODA5ZTg5ZmY4ZTBlOTQzMDAzYzgwNzMwMjE5MDgiLCJ1c2VySWQiOiIxNjM2NjExMDUxIn0=</vt:lpwstr>
  </property>
  <property fmtid="{D5CDD505-2E9C-101B-9397-08002B2CF9AE}" pid="4" name="ICV">
    <vt:lpwstr>8355FB3A51F14760BC415C3728EC813D_12</vt:lpwstr>
  </property>
</Properties>
</file>