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Style w:val="ReportKicker"/>
        <w:jc w:val="center"/>
      </w:pPr>
      <w:r>
        <w:rPr>
          <w:rFonts w:ascii="Calibri" w:hAnsi="Calibri" w:eastAsia="Microsoft YaHei"/>
          <w:b/>
          <w:color w:val="B58A24"/>
          <w:sz w:val="18"/>
        </w:rPr>
        <w:t>CURRENT ARCHITECTURE REVIEW</w:t>
      </w:r>
    </w:p>
    <w:p>
      <w:pPr>
        <w:spacing w:before="0" w:after="120"/>
        <w:jc w:val="center"/>
      </w:pPr>
      <w:r>
        <w:rPr>
          <w:rFonts w:ascii="Calibri" w:hAnsi="Calibri" w:eastAsia="Microsoft YaHei"/>
          <w:b/>
          <w:color w:val="16324F"/>
          <w:sz w:val="68"/>
        </w:rPr>
        <w:t>Commerce Ops</w:t>
      </w:r>
    </w:p>
    <w:p>
      <w:pPr>
        <w:spacing w:before="0" w:after="280"/>
        <w:jc w:val="center"/>
      </w:pPr>
      <w:r>
        <w:rPr>
          <w:rFonts w:ascii="Calibri" w:hAnsi="Calibri" w:eastAsia="Microsoft YaHei"/>
          <w:b/>
          <w:color w:val="2E74B5"/>
          <w:sz w:val="48"/>
        </w:rPr>
        <w:t>Current Architecture Report</w:t>
      </w:r>
    </w:p>
    <w:p>
      <w:pPr>
        <w:spacing w:before="0" w:after="560"/>
        <w:jc w:val="center"/>
      </w:pPr>
      <w:r>
        <w:rPr>
          <w:rFonts w:ascii="Calibri" w:hAnsi="Calibri" w:eastAsia="Microsoft YaHei"/>
          <w:b w:val="0"/>
          <w:color w:val="1F4D78"/>
          <w:sz w:val="28"/>
        </w:rPr>
        <w:t>当前系统架构、功能状态、数据资产、AI Agent 与演进路线</w:t>
      </w:r>
    </w:p>
    <w:p>
      <w:pPr>
        <w:spacing w:after="1120" w:line="264" w:lineRule="auto"/>
        <w:jc w:val="center"/>
      </w:pPr>
      <w:r>
        <w:rPr>
          <w:rFonts w:ascii="Calibri" w:hAnsi="Calibri" w:eastAsia="Microsoft YaHei"/>
          <w:b w:val="0"/>
          <w:i/>
          <w:color w:val="667085"/>
          <w:sz w:val="22"/>
        </w:rPr>
        <w:t>一份面向团队伙伴的当前状态说明</w:t>
      </w:r>
    </w:p>
    <w:p>
      <w:pPr>
        <w:spacing w:after="80" w:line="264" w:lineRule="auto"/>
        <w:jc w:val="center"/>
      </w:pPr>
      <w:r>
        <w:rPr>
          <w:rFonts w:ascii="Calibri" w:hAnsi="Calibri" w:eastAsia="Microsoft YaHei"/>
          <w:b/>
          <w:i w:val="0"/>
          <w:color w:val="1F2937"/>
          <w:sz w:val="20"/>
        </w:rPr>
        <w:t>状态基准：2026-08-10（更新至当日最新确认状态）</w:t>
      </w:r>
    </w:p>
    <w:p>
      <w:pPr>
        <w:spacing w:after="40" w:line="264" w:lineRule="auto"/>
        <w:jc w:val="center"/>
      </w:pPr>
      <w:r>
        <w:rPr>
          <w:rFonts w:ascii="Calibri" w:hAnsi="Calibri" w:eastAsia="Microsoft YaHei"/>
          <w:b w:val="0"/>
          <w:i w:val="0"/>
          <w:color w:val="667085"/>
          <w:sz w:val="18"/>
        </w:rPr>
        <w:t>Branch: codex/lazada-shopee-platform-api</w:t>
      </w:r>
    </w:p>
    <w:p>
      <w:pPr>
        <w:spacing w:after="240" w:line="264" w:lineRule="auto"/>
        <w:jc w:val="center"/>
      </w:pPr>
      <w:r>
        <w:rPr>
          <w:rFonts w:ascii="Calibri" w:hAnsi="Calibri" w:eastAsia="Microsoft YaHei"/>
          <w:b w:val="0"/>
          <w:i w:val="0"/>
          <w:color w:val="667085"/>
          <w:sz w:val="17"/>
        </w:rPr>
        <w:t>HEAD: fdbde54450c3f43c34f076c1c10ddcd35f98ebb5</w:t>
      </w:r>
    </w:p>
    <w:p>
      <w:pPr>
        <w:spacing w:after="0" w:line="264" w:lineRule="auto"/>
        <w:jc w:val="center"/>
      </w:pPr>
      <w:r>
        <w:rPr>
          <w:rFonts w:ascii="Calibri" w:hAnsi="Calibri" w:eastAsia="Microsoft YaHei"/>
          <w:b w:val="0"/>
          <w:i w:val="0"/>
          <w:color w:val="667085"/>
          <w:sz w:val="19"/>
        </w:rPr>
        <w:t>依据：当前代码、运行进程、API、数据库与磁盘资产的只读检查</w:t>
      </w:r>
    </w:p>
    <w:p>
      <w:r>
        <w:br w:type="page"/>
      </w:r>
    </w:p>
    <w:p>
      <w:pPr>
        <w:pStyle w:val="ReportKicker"/>
        <w:jc w:val="left"/>
      </w:pPr>
      <w:r>
        <w:rPr>
          <w:rFonts w:ascii="Calibri" w:hAnsi="Calibri" w:eastAsia="Microsoft YaHei"/>
          <w:b/>
          <w:color w:val="B58A24"/>
          <w:sz w:val="18"/>
        </w:rPr>
        <w:t>EXECUTIVE SUMMARY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执行摘要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4F7FB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2E74B5"/>
                <w:sz w:val="20"/>
              </w:rPr>
              <w:t>核心结论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20"/>
              </w:rPr>
              <w:t>Commerce Ops 已从单一竞品分析工具演进为一套 Windows 单机跨境电商运营平台。核心数据与分析能力已投入使用，执行型自动化仍受控或关闭。当前最紧迫的问题是安全配置、迁移治理一致性、进程编排、备份空间和发布基线，而不是继续横向增加模块。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30" w:type="dxa"/>
              <w:start w:w="100" w:type="dxa"/>
              <w:bottom w:w="130" w:type="dxa"/>
              <w:end w:w="100" w:type="dxa"/>
            </w:tcMar>
            <w:shd w:fill="E8EEF5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34"/>
              </w:rPr>
              <w:t>141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67085"/>
                <w:sz w:val="16"/>
              </w:rPr>
              <w:t>PostgreSQL 业务表</w:t>
            </w:r>
          </w:p>
        </w:tc>
        <w:tc>
          <w:tcPr>
            <w:tcW w:type="dxa" w:w="2340"/>
            <w:tcMar>
              <w:top w:w="130" w:type="dxa"/>
              <w:start w:w="100" w:type="dxa"/>
              <w:bottom w:w="130" w:type="dxa"/>
              <w:end w:w="100" w:type="dxa"/>
            </w:tcMar>
            <w:shd w:fill="F4F7FB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34"/>
              </w:rPr>
              <w:t>7.14 GiB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67085"/>
                <w:sz w:val="16"/>
              </w:rPr>
              <w:t>生产数据库</w:t>
            </w:r>
          </w:p>
        </w:tc>
        <w:tc>
          <w:tcPr>
            <w:tcW w:type="dxa" w:w="2340"/>
            <w:tcMar>
              <w:top w:w="130" w:type="dxa"/>
              <w:start w:w="100" w:type="dxa"/>
              <w:bottom w:w="130" w:type="dxa"/>
              <w:end w:w="100" w:type="dxa"/>
            </w:tcMar>
            <w:shd w:fill="E8EEF5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34"/>
              </w:rPr>
              <w:t>27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67085"/>
                <w:sz w:val="16"/>
              </w:rPr>
              <w:t>真实 Agent Runs</w:t>
            </w:r>
          </w:p>
        </w:tc>
        <w:tc>
          <w:tcPr>
            <w:tcW w:type="dxa" w:w="2340"/>
            <w:tcMar>
              <w:top w:w="130" w:type="dxa"/>
              <w:start w:w="100" w:type="dxa"/>
              <w:bottom w:w="130" w:type="dxa"/>
              <w:end w:w="100" w:type="dxa"/>
            </w:tcMar>
            <w:shd w:fill="F4F7FB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34"/>
              </w:rPr>
              <w:t>1191 / 1193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67085"/>
                <w:sz w:val="16"/>
              </w:rPr>
              <w:t>审计测试基线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当前系统形态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color w:val="1F2937"/>
        </w:rPr>
        <w:t>Vue 3 工作台 + Node.js 模块化单体 + Scheduler/Worker + 独立侧车服务。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color w:val="1F2937"/>
        </w:rPr>
        <w:t>PostgreSQL 是权威业务主库；Connector、LiaoLiao Edge 和 Listing Publisher 仍保留 SQLite。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color w:val="1F2937"/>
        </w:rPr>
        <w:t>Lazada、Shopee、Mabang 已集成；TikTok 只有代码和规划，未注册为生产 Connector。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color w:val="1F2937"/>
        </w:rPr>
        <w:t>AI Foundation 已具备 Agent Runtime、Context、Tool、Task、Gateway、Audit 与 Monitoring；两个 Agent 已产生真实运行。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color w:val="1F2937"/>
        </w:rPr>
        <w:t>主站 3101、广告侧车 4173、Mabang Scheduler 当前在线；履约 3112、Listing 8878 和客服 Edge 当前离线。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成熟度判断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700"/>
        <w:gridCol w:w="1700"/>
        <w:gridCol w:w="59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pStyle w:val="TableHeader"/>
              <w:jc w:val="left"/>
            </w:pPr>
            <w:r/>
            <w:r>
              <w:rPr>
                <w:rFonts w:ascii="Calibri" w:hAnsi="Calibri" w:eastAsia="Microsoft YaHei"/>
                <w:b/>
                <w:color w:val="16324F"/>
                <w:sz w:val="16"/>
              </w:rPr>
              <w:t>领域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pStyle w:val="TableHeader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6"/>
              </w:rPr>
              <w:t>当前判断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pStyle w:val="TableHeader"/>
              <w:jc w:val="left"/>
            </w:pPr>
            <w:r/>
            <w:r>
              <w:rPr>
                <w:rFonts w:ascii="Calibri" w:hAnsi="Calibri" w:eastAsia="Microsoft YaHei"/>
                <w:b/>
                <w:color w:val="16324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数据采集与分析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5803D"/>
                <w:sz w:val="16"/>
              </w:rPr>
              <w:t>生产使用</w:t>
            </w:r>
          </w:p>
        </w:tc>
        <w:tc>
          <w:tcPr>
            <w:tcW w:type="dxa" w:w="596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订单、库存、商品、利润、控价、审计已有正式数据。</w:t>
            </w:r>
          </w:p>
        </w:tc>
      </w:tr>
      <w:tr>
        <w:trPr>
          <w:cantSplit/>
        </w:trPr>
        <w:tc>
          <w:tcPr>
            <w:tcW w:type="dxa" w:w="170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经营工作台</w:t>
            </w:r>
          </w:p>
        </w:tc>
        <w:tc>
          <w:tcPr>
            <w:tcW w:type="dxa" w:w="1700"/>
            <w:shd w:fill="FAFBFC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B45309"/>
                <w:sz w:val="16"/>
              </w:rPr>
              <w:t>部分生产</w:t>
            </w:r>
          </w:p>
        </w:tc>
        <w:tc>
          <w:tcPr>
            <w:tcW w:type="dxa" w:w="596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商品、客服、广告、Listing 的业务闭环尚不完整。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平台写入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B45309"/>
                <w:sz w:val="16"/>
              </w:rPr>
              <w:t>受控关闭</w:t>
            </w:r>
          </w:p>
        </w:tc>
        <w:tc>
          <w:tcPr>
            <w:tcW w:type="dxa" w:w="596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Lazada 写接口存在，但全局 Writes Enabled 为 false。</w:t>
            </w:r>
          </w:p>
        </w:tc>
      </w:tr>
      <w:tr>
        <w:trPr>
          <w:cantSplit/>
        </w:trPr>
        <w:tc>
          <w:tcPr>
            <w:tcW w:type="dxa" w:w="170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AI Agent</w:t>
            </w:r>
          </w:p>
        </w:tc>
        <w:tc>
          <w:tcPr>
            <w:tcW w:type="dxa" w:w="1700"/>
            <w:shd w:fill="FAFBFC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B45309"/>
                <w:sz w:val="16"/>
              </w:rPr>
              <w:t>有限生产</w:t>
            </w:r>
          </w:p>
        </w:tc>
        <w:tc>
          <w:tcPr>
            <w:tcW w:type="dxa" w:w="596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两个正式 Agent 有 Run；Evaluation 数据仍为 0。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高可用与公网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9B1C1C"/>
                <w:sz w:val="16"/>
              </w:rPr>
              <w:t>未具备</w:t>
            </w:r>
          </w:p>
        </w:tc>
        <w:tc>
          <w:tcPr>
            <w:tcW w:type="dxa" w:w="596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单机、HTTP、局域网免认证，不适合公网或高可用部署。</w:t>
            </w:r>
          </w:p>
        </w:tc>
      </w:tr>
    </w:tbl>
    <w:p>
      <w:r>
        <w:br w:type="page"/>
      </w:r>
    </w:p>
    <w:p>
      <w:pPr>
        <w:pStyle w:val="ReportKicker"/>
        <w:jc w:val="left"/>
      </w:pPr>
      <w:r>
        <w:rPr>
          <w:rFonts w:ascii="Calibri" w:hAnsi="Calibri" w:eastAsia="Microsoft YaHei"/>
          <w:b/>
          <w:color w:val="B58A24"/>
          <w:sz w:val="18"/>
        </w:rPr>
        <w:t>SYSTEM MAP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1. 当前系统架构</w:t>
      </w:r>
    </w:p>
    <w:p>
      <w:pPr>
        <w:spacing w:after="2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当前架构属于“模块化单体优先、侧车隔离、统一数据主库、边缘进程保留本地状态”的混合形态。它不是微服务架构，Node 主进程仍承担大部分装配、路由和生命周期管理。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4128516"/>
            <wp:docPr id="1" name="Picture 1" title="Commerce Ops current architecture" descr="Commerce Ops 当前架构图，展示用户层、Vue 与 Node 主应用、业务服务、AI Foundation、独立侧车、数据层以及外部系统的生产启用状态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erce-ops-current-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128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Microsoft YaHei"/>
          <w:i/>
          <w:color w:val="667085"/>
          <w:sz w:val="17"/>
        </w:rPr>
        <w:t>图 1  Commerce Ops 当前运行架构与启用状态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667085"/>
          <w:left w:val="single" w:sz="8" w:space="0" w:color="667085"/>
          <w:bottom w:val="single" w:sz="8" w:space="0" w:color="667085"/>
          <w:right w:val="single" w:sz="8" w:space="0" w:color="667085"/>
          <w:insideH w:val="single" w:sz="8" w:space="0" w:color="667085"/>
          <w:insideV w:val="single" w:sz="8" w:space="0" w:color="667085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2F4F7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667085"/>
                <w:sz w:val="20"/>
              </w:rPr>
              <w:t>当前运行事实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20"/>
              </w:rPr>
              <w:t>3101 与 4173 健康检查返回 200；Mabang Scheduler Lease 在线。履约代理返回 503，Listing 8878 无监听。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ReportKicker"/>
        <w:jc w:val="left"/>
      </w:pPr>
      <w:r>
        <w:rPr>
          <w:rFonts w:ascii="Calibri" w:hAnsi="Calibri" w:eastAsia="Microsoft YaHei"/>
          <w:b/>
          <w:color w:val="B58A24"/>
          <w:sz w:val="18"/>
        </w:rPr>
        <w:t>REPOSITORY STRUCTURE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2. 项目目录与职责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项目没有字面上的 backend、services、workers、database 顶层目录；这些逻辑职责由根入口、lib 领域模块、独立服务和脚本共同承担。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100"/>
        <w:gridCol w:w="1400"/>
        <w:gridCol w:w="58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pStyle w:val="TableHeader"/>
              <w:jc w:val="left"/>
            </w:pPr>
            <w:r/>
            <w:r>
              <w:rPr>
                <w:rFonts w:ascii="Calibri" w:hAnsi="Calibri" w:eastAsia="Microsoft YaHei"/>
                <w:b/>
                <w:color w:val="16324F"/>
                <w:sz w:val="16"/>
              </w:rPr>
              <w:t>目录 / 入口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pStyle w:val="TableHeader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6"/>
              </w:rPr>
              <w:t>规模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pStyle w:val="TableHeader"/>
              <w:jc w:val="left"/>
            </w:pPr>
            <w:r/>
            <w:r>
              <w:rPr>
                <w:rFonts w:ascii="Calibri" w:hAnsi="Calibri" w:eastAsia="Microsoft YaHei"/>
                <w:b/>
                <w:color w:val="16324F"/>
                <w:sz w:val="16"/>
              </w:rPr>
              <w:t>实际职责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frontend</w:t>
            </w:r>
          </w:p>
        </w:tc>
        <w:tc>
          <w:tcPr>
            <w:tcW w:type="dxa" w:w="1400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121 文件</w:t>
            </w:r>
          </w:p>
        </w:tc>
        <w:tc>
          <w:tcPr>
            <w:tcW w:type="dxa" w:w="586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Vue 3 主工作台及 Growth Radar、Listing、Sales Assortment 等旧版/独立前端。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server.mjs</w:t>
            </w:r>
          </w:p>
        </w:tc>
        <w:tc>
          <w:tcPr>
            <w:tcW w:type="dxa" w:w="1400"/>
            <w:shd w:fill="FAFBFC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约 3,500 行</w:t>
            </w:r>
          </w:p>
        </w:tc>
        <w:tc>
          <w:tcPr>
            <w:tcW w:type="dxa" w:w="586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HTTP API、静态资源、访问控制、审计、业务服务装配、侧车代理。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scheduler.mjs</w:t>
            </w:r>
          </w:p>
        </w:tc>
        <w:tc>
          <w:tcPr>
            <w:tcW w:type="dxa" w:w="1400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独立进程</w:t>
            </w:r>
          </w:p>
        </w:tc>
        <w:tc>
          <w:tcPr>
            <w:tcW w:type="dxa" w:w="586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Mabang 任务、产品包同步、销售日报 Agent、定时任务生命周期。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lib</w:t>
            </w:r>
          </w:p>
        </w:tc>
        <w:tc>
          <w:tcPr>
            <w:tcW w:type="dxa" w:w="1400"/>
            <w:shd w:fill="FAFBFC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258 文件</w:t>
            </w:r>
          </w:p>
        </w:tc>
        <w:tc>
          <w:tcPr>
            <w:tcW w:type="dxa" w:w="586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AI、商品、销售、利润、控价、客服、知识库、数据层、安全等领域代码。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connectors</w:t>
            </w:r>
          </w:p>
        </w:tc>
        <w:tc>
          <w:tcPr>
            <w:tcW w:type="dxa" w:w="1400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27 文件</w:t>
            </w:r>
          </w:p>
        </w:tc>
        <w:tc>
          <w:tcPr>
            <w:tcW w:type="dxa" w:w="586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平台 Connector 抽象、Lazada/Shopee 实现、控制面与令牌加密。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integrations</w:t>
            </w:r>
          </w:p>
        </w:tc>
        <w:tc>
          <w:tcPr>
            <w:tcW w:type="dxa" w:w="1400"/>
            <w:shd w:fill="FAFBFC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242 文件</w:t>
            </w:r>
          </w:p>
        </w:tc>
        <w:tc>
          <w:tcPr>
            <w:tcW w:type="dxa" w:w="586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Mabang Listing/WPS、LiaoLiao 客服 Edge、Lazada OAuth。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fulfillment-service</w:t>
            </w:r>
          </w:p>
        </w:tc>
        <w:tc>
          <w:tcPr>
            <w:tcW w:type="dxa" w:w="1400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16 文件</w:t>
            </w:r>
          </w:p>
        </w:tc>
        <w:tc>
          <w:tcPr>
            <w:tcW w:type="dxa" w:w="586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预检、预览、批次、追踪恢复、自动发货与旧版 Fulfillment Agent。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migrations / postgresql</w:t>
            </w:r>
          </w:p>
        </w:tc>
        <w:tc>
          <w:tcPr>
            <w:tcW w:type="dxa" w:w="1400"/>
            <w:shd w:fill="FAFBFC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61 文件</w:t>
            </w:r>
          </w:p>
        </w:tc>
        <w:tc>
          <w:tcPr>
            <w:tcW w:type="dxa" w:w="586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SQLite 时代业务迁移、PostgreSQL Shadow/Staging/生产扩展迁移。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scripts</w:t>
            </w:r>
          </w:p>
        </w:tc>
        <w:tc>
          <w:tcPr>
            <w:tcW w:type="dxa" w:w="1400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115 文件</w:t>
            </w:r>
          </w:p>
        </w:tc>
        <w:tc>
          <w:tcPr>
            <w:tcW w:type="dxa" w:w="586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启动、采集、迁移、备份恢复、数据修复、同步和运维。</w:t>
            </w:r>
          </w:p>
        </w:tc>
      </w:tr>
      <w:tr>
        <w:trPr>
          <w:cantSplit/>
        </w:trPr>
        <w:tc>
          <w:tcPr>
            <w:tcW w:type="dxa" w:w="210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storage</w:t>
            </w:r>
          </w:p>
        </w:tc>
        <w:tc>
          <w:tcPr>
            <w:tcW w:type="dxa" w:w="1400"/>
            <w:shd w:fill="FAFBFC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约 30.1 GiB</w:t>
            </w:r>
          </w:p>
        </w:tc>
        <w:tc>
          <w:tcPr>
            <w:tcW w:type="dxa" w:w="586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SQLite、备份、商品媒体、Excel、报告、浏览器 Profile、运行文件。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tests</w:t>
            </w:r>
          </w:p>
        </w:tc>
        <w:tc>
          <w:tcPr>
            <w:tcW w:type="dxa" w:w="1400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111 文件</w:t>
            </w:r>
          </w:p>
        </w:tc>
        <w:tc>
          <w:tcPr>
            <w:tcW w:type="dxa" w:w="586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1,193 项 Node 测试，覆盖业务、权限、数据库、Agent 与前端契约。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逻辑映射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color w:val="1F2937"/>
        </w:rPr>
        <w:t>Backend = server.mjs + scheduler.mjs + lib/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color w:val="1F2937"/>
        </w:rPr>
        <w:t>Services = lib/*-service.mjs + fulfillment-service/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color w:val="1F2937"/>
        </w:rPr>
        <w:t>Workers = mabang_worker.py + integrations/* 边缘进程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color w:val="1F2937"/>
        </w:rPr>
        <w:t>Database = lib/data + postgresql + migrations + storage/*.sqlite</w:t>
      </w:r>
    </w:p>
    <w:p>
      <w:r>
        <w:br w:type="page"/>
      </w:r>
    </w:p>
    <w:p>
      <w:pPr>
        <w:pStyle w:val="ReportKicker"/>
        <w:jc w:val="left"/>
      </w:pPr>
      <w:r>
        <w:rPr>
          <w:rFonts w:ascii="Calibri" w:hAnsi="Calibri" w:eastAsia="Microsoft YaHei"/>
          <w:b/>
          <w:color w:val="B58A24"/>
          <w:sz w:val="18"/>
        </w:rPr>
        <w:t>MODULE STATUS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3. 功能模块状态矩阵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状态区分“已生产”“部分生产”“已开发未启用”。能力描述同时包含当前数据库规模和实际运行状态。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200"/>
        <w:gridCol w:w="1250"/>
        <w:gridCol w:w="4300"/>
        <w:gridCol w:w="261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pStyle w:val="TableHeader"/>
              <w:jc w:val="left"/>
            </w:pPr>
            <w:r/>
            <w:r>
              <w:rPr>
                <w:rFonts w:ascii="Calibri" w:hAnsi="Calibri" w:eastAsia="Microsoft YaHei"/>
                <w:b/>
                <w:color w:val="16324F"/>
                <w:sz w:val="16"/>
              </w:rPr>
              <w:t>模块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pStyle w:val="TableHeader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6"/>
              </w:rPr>
              <w:t>状态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pStyle w:val="TableHeader"/>
              <w:jc w:val="left"/>
            </w:pPr>
            <w:r/>
            <w:r>
              <w:rPr>
                <w:rFonts w:ascii="Calibri" w:hAnsi="Calibri" w:eastAsia="Microsoft YaHei"/>
                <w:b/>
                <w:color w:val="16324F"/>
                <w:sz w:val="16"/>
              </w:rPr>
              <w:t>当前能力 / 数据 / 代码位置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pStyle w:val="TableHeader"/>
              <w:jc w:val="left"/>
            </w:pPr>
            <w:r/>
            <w:r>
              <w:rPr>
                <w:rFonts w:ascii="Calibri" w:hAnsi="Calibri" w:eastAsia="Microsoft YaHei"/>
                <w:b/>
                <w:color w:val="16324F"/>
                <w:sz w:val="16"/>
              </w:rPr>
              <w:t>关键风险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商品中心</w:t>
            </w:r>
          </w:p>
        </w:tc>
        <w:tc>
          <w:tcPr>
            <w:tcW w:type="dxa" w:w="1250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B45309"/>
                <w:sz w:val="16"/>
              </w:rPr>
              <w:t>部分生产</w:t>
            </w:r>
          </w:p>
        </w:tc>
        <w:tc>
          <w:tcPr>
            <w:tcW w:type="dxa" w:w="43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查询、编辑、软删除、AI 文案、图片计划、Listing 草稿；76,114 SKU、121,176 产品包行。</w:t>
            </w:r>
          </w:p>
          <w:p>
            <w:pPr>
              <w:pStyle w:val="CodeInline"/>
              <w:jc w:val="left"/>
            </w:pPr>
            <w:r>
              <w:rPr>
                <w:rFonts w:ascii="Consolas" w:hAnsi="Consolas" w:eastAsia="Microsoft YaHei"/>
                <w:color w:val="667085"/>
                <w:sz w:val="14"/>
              </w:rPr>
              <w:t>lib/product-center</w:t>
            </w:r>
          </w:p>
        </w:tc>
        <w:tc>
          <w:tcPr>
            <w:tcW w:type="dxa" w:w="261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正式 product_images=0；草稿/发布记录为 0；清除人工覆盖测试失败。</w:t>
            </w:r>
          </w:p>
        </w:tc>
      </w:tr>
      <w:tr>
        <w:trPr>
          <w:cantSplit/>
        </w:trPr>
        <w:tc>
          <w:tcPr>
            <w:tcW w:type="dxa" w:w="120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销售分析</w:t>
            </w:r>
          </w:p>
        </w:tc>
        <w:tc>
          <w:tcPr>
            <w:tcW w:type="dxa" w:w="1250"/>
            <w:shd w:fill="FAFBFC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5803D"/>
                <w:sz w:val="16"/>
              </w:rPr>
              <w:t>已生产</w:t>
            </w:r>
          </w:p>
        </w:tc>
        <w:tc>
          <w:tcPr>
            <w:tcW w:type="dxa" w:w="430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趋势、排行、库存动作、日报和 DeepSeek 分析；复用订单、库存、产品包。</w:t>
            </w:r>
          </w:p>
          <w:p>
            <w:pPr>
              <w:pStyle w:val="CodeInline"/>
              <w:jc w:val="left"/>
            </w:pPr>
            <w:r>
              <w:rPr>
                <w:rFonts w:ascii="Consolas" w:hAnsi="Consolas" w:eastAsia="Microsoft YaHei"/>
                <w:color w:val="667085"/>
                <w:sz w:val="14"/>
              </w:rPr>
              <w:t>lib/sales-assortment</w:t>
            </w:r>
          </w:p>
        </w:tc>
        <w:tc>
          <w:tcPr>
            <w:tcW w:type="dxa" w:w="261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依赖身份映射、金额完整性和部分数据语义。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库存</w:t>
            </w:r>
          </w:p>
        </w:tc>
        <w:tc>
          <w:tcPr>
            <w:tcW w:type="dxa" w:w="1250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5803D"/>
                <w:sz w:val="16"/>
              </w:rPr>
              <w:t>已生产</w:t>
            </w:r>
          </w:p>
        </w:tc>
        <w:tc>
          <w:tcPr>
            <w:tcW w:type="dxa" w:w="43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298,690 个库存快照；最新确认批次 108,624 行。</w:t>
            </w:r>
          </w:p>
          <w:p>
            <w:pPr>
              <w:pStyle w:val="CodeInline"/>
              <w:jc w:val="left"/>
            </w:pPr>
            <w:r>
              <w:rPr>
                <w:rFonts w:ascii="Consolas" w:hAnsi="Consolas" w:eastAsia="Microsoft YaHei"/>
                <w:color w:val="667085"/>
                <w:sz w:val="14"/>
              </w:rPr>
              <w:t>lib/mabang-data + lib/growth-radar</w:t>
            </w:r>
          </w:p>
        </w:tc>
        <w:tc>
          <w:tcPr>
            <w:tcW w:type="dxa" w:w="261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调拨待发字段已落地；暂无正式补货执行闭环。</w:t>
            </w:r>
          </w:p>
        </w:tc>
      </w:tr>
      <w:tr>
        <w:trPr>
          <w:cantSplit/>
        </w:trPr>
        <w:tc>
          <w:tcPr>
            <w:tcW w:type="dxa" w:w="120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订单</w:t>
            </w:r>
          </w:p>
        </w:tc>
        <w:tc>
          <w:tcPr>
            <w:tcW w:type="dxa" w:w="1250"/>
            <w:shd w:fill="FAFBFC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5803D"/>
                <w:sz w:val="16"/>
              </w:rPr>
              <w:t>已生产</w:t>
            </w:r>
          </w:p>
        </w:tc>
        <w:tc>
          <w:tcPr>
            <w:tcW w:type="dxa" w:w="430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13,111 订单头、15,497 行、23,352 原始记录。</w:t>
            </w:r>
          </w:p>
          <w:p>
            <w:pPr>
              <w:pStyle w:val="CodeInline"/>
              <w:jc w:val="left"/>
            </w:pPr>
            <w:r>
              <w:rPr>
                <w:rFonts w:ascii="Consolas" w:hAnsi="Consolas" w:eastAsia="Microsoft YaHei"/>
                <w:color w:val="667085"/>
                <w:sz w:val="14"/>
              </w:rPr>
              <w:t>lib/mabang-data + lib/profit</w:t>
            </w:r>
          </w:p>
        </w:tc>
        <w:tc>
          <w:tcPr>
            <w:tcW w:type="dxa" w:w="261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平台订单、交易号、店铺和 SKU 跨系统身份仍需治理。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Mabang 采集</w:t>
            </w:r>
          </w:p>
        </w:tc>
        <w:tc>
          <w:tcPr>
            <w:tcW w:type="dxa" w:w="1250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5803D"/>
                <w:sz w:val="16"/>
              </w:rPr>
              <w:t>已生产</w:t>
            </w:r>
          </w:p>
        </w:tc>
        <w:tc>
          <w:tcPr>
            <w:tcW w:type="dxa" w:w="43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订单、库存、产品包、图片和 Excel 导出；Scheduler 在线，21 个来源批次。</w:t>
            </w:r>
          </w:p>
          <w:p>
            <w:pPr>
              <w:pStyle w:val="CodeInline"/>
              <w:jc w:val="left"/>
            </w:pPr>
            <w:r>
              <w:rPr>
                <w:rFonts w:ascii="Consolas" w:hAnsi="Consolas" w:eastAsia="Microsoft YaHei"/>
                <w:color w:val="667085"/>
                <w:sz w:val="14"/>
              </w:rPr>
              <w:t>lib/mabang-scheduler + scripts/mabang_worker.py</w:t>
            </w:r>
          </w:p>
        </w:tc>
        <w:tc>
          <w:tcPr>
            <w:tcW w:type="dxa" w:w="261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依赖单机浏览器/WPS/Python Session；重复启动出现过同步冲突。</w:t>
            </w:r>
          </w:p>
        </w:tc>
      </w:tr>
      <w:tr>
        <w:trPr>
          <w:cantSplit/>
        </w:trPr>
        <w:tc>
          <w:tcPr>
            <w:tcW w:type="dxa" w:w="120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自动发货</w:t>
            </w:r>
          </w:p>
        </w:tc>
        <w:tc>
          <w:tcPr>
            <w:tcW w:type="dxa" w:w="1250"/>
            <w:shd w:fill="FAFBFC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667085"/>
                <w:sz w:val="16"/>
              </w:rPr>
              <w:t>未启用</w:t>
            </w:r>
          </w:p>
        </w:tc>
        <w:tc>
          <w:tcPr>
            <w:tcW w:type="dxa" w:w="430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预检、预览、确认令牌、批次、追踪恢复和只读 Agent 已实现。</w:t>
            </w:r>
          </w:p>
          <w:p>
            <w:pPr>
              <w:pStyle w:val="CodeInline"/>
              <w:jc w:val="left"/>
            </w:pPr>
            <w:r>
              <w:rPr>
                <w:rFonts w:ascii="Consolas" w:hAnsi="Consolas" w:eastAsia="Microsoft YaHei"/>
                <w:color w:val="667085"/>
                <w:sz w:val="14"/>
              </w:rPr>
              <w:t>fulfillment-service</w:t>
            </w:r>
          </w:p>
        </w:tc>
        <w:tc>
          <w:tcPr>
            <w:tcW w:type="dxa" w:w="261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3112 离线；Scheduler/Auto/Real Submit 关闭；Agent Run=0。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Listing</w:t>
            </w:r>
          </w:p>
        </w:tc>
        <w:tc>
          <w:tcPr>
            <w:tcW w:type="dxa" w:w="1250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B45309"/>
                <w:sz w:val="16"/>
              </w:rPr>
              <w:t>部分完成</w:t>
            </w:r>
          </w:p>
        </w:tc>
        <w:tc>
          <w:tcPr>
            <w:tcW w:type="dxa" w:w="43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在线商品管理、Lazada 草稿/发布工作台、AI 文案代理。</w:t>
            </w:r>
          </w:p>
          <w:p>
            <w:pPr>
              <w:pStyle w:val="CodeInline"/>
              <w:jc w:val="left"/>
            </w:pPr>
            <w:r>
              <w:rPr>
                <w:rFonts w:ascii="Consolas" w:hAnsi="Consolas" w:eastAsia="Microsoft YaHei"/>
                <w:color w:val="667085"/>
                <w:sz w:val="14"/>
              </w:rPr>
              <w:t>integrations/mabang-getdata</w:t>
            </w:r>
          </w:p>
        </w:tc>
        <w:tc>
          <w:tcPr>
            <w:tcW w:type="dxa" w:w="261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8878 离线；正式草稿/发布数据为 0；发布器仍用 SQLite。</w:t>
            </w:r>
          </w:p>
        </w:tc>
      </w:tr>
      <w:tr>
        <w:trPr>
          <w:cantSplit/>
        </w:trPr>
        <w:tc>
          <w:tcPr>
            <w:tcW w:type="dxa" w:w="120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广告</w:t>
            </w:r>
          </w:p>
        </w:tc>
        <w:tc>
          <w:tcPr>
            <w:tcW w:type="dxa" w:w="1250"/>
            <w:shd w:fill="FAFBFC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B45309"/>
                <w:sz w:val="16"/>
              </w:rPr>
              <w:t>部分生产</w:t>
            </w:r>
          </w:p>
        </w:tc>
        <w:tc>
          <w:tcPr>
            <w:tcW w:type="dxa" w:w="430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Lazada Sponsored Max Excel 分析、计划/商品/链接诊断；4173 在线。</w:t>
            </w:r>
          </w:p>
          <w:p>
            <w:pPr>
              <w:pStyle w:val="CodeInline"/>
              <w:jc w:val="left"/>
            </w:pPr>
            <w:r>
              <w:rPr>
                <w:rFonts w:ascii="Consolas" w:hAnsi="Consolas" w:eastAsia="Microsoft YaHei"/>
                <w:color w:val="667085"/>
                <w:sz w:val="14"/>
              </w:rPr>
              <w:t>lib/ad-service-proxy.mjs</w:t>
            </w:r>
          </w:p>
        </w:tc>
        <w:tc>
          <w:tcPr>
            <w:tcW w:type="dxa" w:w="261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Lazada 专用侧车，不是统一 Ads Connector；无多平台预算执行。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竞品</w:t>
            </w:r>
          </w:p>
        </w:tc>
        <w:tc>
          <w:tcPr>
            <w:tcW w:type="dxa" w:w="1250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5803D"/>
                <w:sz w:val="16"/>
              </w:rPr>
              <w:t>已生产</w:t>
            </w:r>
          </w:p>
        </w:tc>
        <w:tc>
          <w:tcPr>
            <w:tcW w:type="dxa" w:w="43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链接、关键词、主图 AI 分析、导出和受控浏览器导航。</w:t>
            </w:r>
          </w:p>
          <w:p>
            <w:pPr>
              <w:pStyle w:val="CodeInline"/>
              <w:jc w:val="left"/>
            </w:pPr>
            <w:r>
              <w:rPr>
                <w:rFonts w:ascii="Consolas" w:hAnsi="Consolas" w:eastAsia="Microsoft YaHei"/>
                <w:color w:val="667085"/>
                <w:sz w:val="14"/>
              </w:rPr>
              <w:t>server.mjs + Vue competitor pages</w:t>
            </w:r>
          </w:p>
        </w:tc>
        <w:tc>
          <w:tcPr>
            <w:tcW w:type="dxa" w:w="261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偏请求时处理；缺少竞品身份、历史快照和长期证据库。</w:t>
            </w:r>
          </w:p>
        </w:tc>
      </w:tr>
      <w:tr>
        <w:trPr>
          <w:cantSplit/>
        </w:trPr>
        <w:tc>
          <w:tcPr>
            <w:tcW w:type="dxa" w:w="120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AI Agent</w:t>
            </w:r>
          </w:p>
        </w:tc>
        <w:tc>
          <w:tcPr>
            <w:tcW w:type="dxa" w:w="1250"/>
            <w:shd w:fill="FAFBFC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B45309"/>
                <w:sz w:val="16"/>
              </w:rPr>
              <w:t>有限生产</w:t>
            </w:r>
          </w:p>
        </w:tc>
        <w:tc>
          <w:tcPr>
            <w:tcW w:type="dxa" w:w="430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Context、Tool、Task、Gateway、Audit、Monitoring 完整；27 个真实 Runs。</w:t>
            </w:r>
          </w:p>
          <w:p>
            <w:pPr>
              <w:pStyle w:val="CodeInline"/>
              <w:jc w:val="left"/>
            </w:pPr>
            <w:r>
              <w:rPr>
                <w:rFonts w:ascii="Consolas" w:hAnsi="Consolas" w:eastAsia="Microsoft YaHei"/>
                <w:color w:val="667085"/>
                <w:sz w:val="14"/>
              </w:rPr>
              <w:t>lib/ai/agent</w:t>
            </w:r>
          </w:p>
        </w:tc>
        <w:tc>
          <w:tcPr>
            <w:tcW w:type="dxa" w:w="261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仅两个正式 Agent；Evaluation=0；Registry 为进程内存。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利润</w:t>
            </w:r>
          </w:p>
        </w:tc>
        <w:tc>
          <w:tcPr>
            <w:tcW w:type="dxa" w:w="1250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B45309"/>
                <w:sz w:val="16"/>
              </w:rPr>
              <w:t>生产 / Partial</w:t>
            </w:r>
          </w:p>
        </w:tc>
        <w:tc>
          <w:tcPr>
            <w:tcW w:type="dxa" w:w="43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Lazada/Shopee 收入、费用、成本、汇率、利润；790 Runs、937 Shop Results。</w:t>
            </w:r>
          </w:p>
          <w:p>
            <w:pPr>
              <w:pStyle w:val="CodeInline"/>
              <w:jc w:val="left"/>
            </w:pPr>
            <w:r>
              <w:rPr>
                <w:rFonts w:ascii="Consolas" w:hAnsi="Consolas" w:eastAsia="Microsoft YaHei"/>
                <w:color w:val="667085"/>
                <w:sz w:val="14"/>
              </w:rPr>
              <w:t>lib/profit</w:t>
            </w:r>
          </w:p>
        </w:tc>
        <w:tc>
          <w:tcPr>
            <w:tcW w:type="dxa" w:w="261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当前 Lazada 78 店中 70 完成、8 部分，仍有未解析订单。</w:t>
            </w:r>
          </w:p>
        </w:tc>
      </w:tr>
      <w:tr>
        <w:trPr>
          <w:cantSplit/>
        </w:trPr>
        <w:tc>
          <w:tcPr>
            <w:tcW w:type="dxa" w:w="120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控价</w:t>
            </w:r>
          </w:p>
        </w:tc>
        <w:tc>
          <w:tcPr>
            <w:tcW w:type="dxa" w:w="1250"/>
            <w:shd w:fill="FAFBFC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B45309"/>
                <w:sz w:val="16"/>
              </w:rPr>
              <w:t>分析生产</w:t>
            </w:r>
          </w:p>
        </w:tc>
        <w:tc>
          <w:tcPr>
            <w:tcW w:type="dxa" w:w="430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2.13M 快照、710K 当前价格、659K 变更；确认/执行工作流。</w:t>
            </w:r>
          </w:p>
          <w:p>
            <w:pPr>
              <w:pStyle w:val="CodeInline"/>
              <w:jc w:val="left"/>
            </w:pPr>
            <w:r>
              <w:rPr>
                <w:rFonts w:ascii="Consolas" w:hAnsi="Consolas" w:eastAsia="Microsoft YaHei"/>
                <w:color w:val="667085"/>
                <w:sz w:val="14"/>
              </w:rPr>
              <w:t>lib/price-control</w:t>
            </w:r>
          </w:p>
        </w:tc>
        <w:tc>
          <w:tcPr>
            <w:tcW w:type="dxa" w:w="261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启动环境同步关闭；平台写关闭；自动化状态存在双重配置来源。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客服</w:t>
            </w:r>
          </w:p>
        </w:tc>
        <w:tc>
          <w:tcPr>
            <w:tcW w:type="dxa" w:w="1250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B45309"/>
                <w:sz w:val="16"/>
              </w:rPr>
              <w:t>控制面生产</w:t>
            </w:r>
          </w:p>
        </w:tc>
        <w:tc>
          <w:tcPr>
            <w:tcW w:type="dxa" w:w="43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会话、消息、AI 建议、审核、只填草稿、人工发送关联。</w:t>
            </w:r>
          </w:p>
          <w:p>
            <w:pPr>
              <w:pStyle w:val="CodeInline"/>
              <w:jc w:val="left"/>
            </w:pPr>
            <w:r>
              <w:rPr>
                <w:rFonts w:ascii="Consolas" w:hAnsi="Consolas" w:eastAsia="Microsoft YaHei"/>
                <w:color w:val="667085"/>
                <w:sz w:val="14"/>
              </w:rPr>
              <w:t>lib/customer-service</w:t>
            </w:r>
          </w:p>
        </w:tc>
        <w:tc>
          <w:tcPr>
            <w:tcW w:type="dxa" w:w="261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Edge Worker 离线；不自动发送；建议质量仍需提升。</w:t>
            </w:r>
          </w:p>
        </w:tc>
      </w:tr>
      <w:tr>
        <w:trPr>
          <w:cantSplit/>
        </w:trPr>
        <w:tc>
          <w:tcPr>
            <w:tcW w:type="dxa" w:w="120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商品知识库</w:t>
            </w:r>
          </w:p>
        </w:tc>
        <w:tc>
          <w:tcPr>
            <w:tcW w:type="dxa" w:w="1250"/>
            <w:shd w:fill="FAFBFC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B45309"/>
                <w:sz w:val="16"/>
              </w:rPr>
              <w:t>部分生产</w:t>
            </w:r>
          </w:p>
        </w:tc>
        <w:tc>
          <w:tcPr>
            <w:tcW w:type="dxa" w:w="430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29,007 候选、23 个批准 Claim、1 个客服发布版本。</w:t>
            </w:r>
          </w:p>
          <w:p>
            <w:pPr>
              <w:pStyle w:val="CodeInline"/>
              <w:jc w:val="left"/>
            </w:pPr>
            <w:r>
              <w:rPr>
                <w:rFonts w:ascii="Consolas" w:hAnsi="Consolas" w:eastAsia="Microsoft YaHei"/>
                <w:color w:val="667085"/>
                <w:sz w:val="14"/>
              </w:rPr>
              <w:t>lib/product-knowledge</w:t>
            </w:r>
          </w:p>
        </w:tc>
        <w:tc>
          <w:tcPr>
            <w:tcW w:type="dxa" w:w="261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发布覆盖很窄；Governance 总开关关闭。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Growth Radar V2</w:t>
            </w:r>
          </w:p>
        </w:tc>
        <w:tc>
          <w:tcPr>
            <w:tcW w:type="dxa" w:w="1250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667085"/>
                <w:sz w:val="16"/>
              </w:rPr>
              <w:t>未启用</w:t>
            </w:r>
          </w:p>
        </w:tc>
        <w:tc>
          <w:tcPr>
            <w:tcW w:type="dxa" w:w="43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分析、Signal、Focus Item、规则和迁移已实现。</w:t>
            </w:r>
          </w:p>
          <w:p>
            <w:pPr>
              <w:pStyle w:val="CodeInline"/>
              <w:jc w:val="left"/>
            </w:pPr>
            <w:r>
              <w:rPr>
                <w:rFonts w:ascii="Consolas" w:hAnsi="Consolas" w:eastAsia="Microsoft YaHei"/>
                <w:color w:val="667085"/>
                <w:sz w:val="14"/>
              </w:rPr>
              <w:t>lib/growth-radar/v2</w:t>
            </w:r>
          </w:p>
        </w:tc>
        <w:tc>
          <w:tcPr>
            <w:tcW w:type="dxa" w:w="261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analysis_runs/signals/focus_items 均为 0；没有发布分析。</w:t>
            </w:r>
          </w:p>
        </w:tc>
      </w:tr>
      <w:tr>
        <w:trPr>
          <w:cantSplit/>
        </w:trPr>
        <w:tc>
          <w:tcPr>
            <w:tcW w:type="dxa" w:w="120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平台连接器</w:t>
            </w:r>
          </w:p>
        </w:tc>
        <w:tc>
          <w:tcPr>
            <w:tcW w:type="dxa" w:w="1250"/>
            <w:shd w:fill="FAFBFC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5803D"/>
                <w:sz w:val="16"/>
              </w:rPr>
              <w:t>生产读</w:t>
            </w:r>
          </w:p>
        </w:tc>
        <w:tc>
          <w:tcPr>
            <w:tcW w:type="dxa" w:w="430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Lazada、Shopee；134 个店铺；订单、商品、库存、财务读取。</w:t>
            </w:r>
          </w:p>
          <w:p>
            <w:pPr>
              <w:pStyle w:val="CodeInline"/>
              <w:jc w:val="left"/>
            </w:pPr>
            <w:r>
              <w:rPr>
                <w:rFonts w:ascii="Consolas" w:hAnsi="Consolas" w:eastAsia="Microsoft YaHei"/>
                <w:color w:val="667085"/>
                <w:sz w:val="14"/>
              </w:rPr>
              <w:t>connectors/runtime.mjs</w:t>
            </w:r>
          </w:p>
        </w:tc>
        <w:tc>
          <w:tcPr>
            <w:tcW w:type="dxa" w:w="261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writesEnabled=false；TikTok 未注册。</w:t>
            </w:r>
          </w:p>
        </w:tc>
      </w:tr>
    </w:tbl>
    <w:p>
      <w:r>
        <w:br w:type="page"/>
      </w:r>
    </w:p>
    <w:p>
      <w:pPr>
        <w:pStyle w:val="ReportKicker"/>
        <w:jc w:val="left"/>
      </w:pPr>
      <w:r>
        <w:rPr>
          <w:rFonts w:ascii="Calibri" w:hAnsi="Calibri" w:eastAsia="Microsoft YaHei"/>
          <w:b/>
          <w:color w:val="B58A24"/>
          <w:sz w:val="18"/>
        </w:rPr>
        <w:t>AI FOUNDATION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4. AI Agent 架构盘点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正式 Agent 通过统一 Runtime 执行，不能直接注入数据库、文件、Provider 或网络客户端。Context 与 Tool 均使用版本合同，运行与调用写入 Operation Audit。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900"/>
        <w:gridCol w:w="850"/>
        <w:gridCol w:w="1700"/>
        <w:gridCol w:w="2800"/>
        <w:gridCol w:w="211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pStyle w:val="TableHeader"/>
              <w:jc w:val="left"/>
            </w:pPr>
            <w:r/>
            <w:r>
              <w:rPr>
                <w:rFonts w:ascii="Calibri" w:hAnsi="Calibri" w:eastAsia="Microsoft YaHei"/>
                <w:b/>
                <w:color w:val="16324F"/>
                <w:sz w:val="16"/>
              </w:rPr>
              <w:t>Agent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pStyle w:val="TableHeader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6"/>
              </w:rPr>
              <w:t>版本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pStyle w:val="TableHeader"/>
              <w:jc w:val="left"/>
            </w:pPr>
            <w:r/>
            <w:r>
              <w:rPr>
                <w:rFonts w:ascii="Calibri" w:hAnsi="Calibri" w:eastAsia="Microsoft YaHei"/>
                <w:b/>
                <w:color w:val="16324F"/>
                <w:sz w:val="16"/>
              </w:rPr>
              <w:t>Context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pStyle w:val="TableHeader"/>
              <w:jc w:val="left"/>
            </w:pPr>
            <w:r/>
            <w:r>
              <w:rPr>
                <w:rFonts w:ascii="Calibri" w:hAnsi="Calibri" w:eastAsia="Microsoft YaHei"/>
                <w:b/>
                <w:color w:val="16324F"/>
                <w:sz w:val="16"/>
              </w:rPr>
              <w:t>Tool / Task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pStyle w:val="TableHeader"/>
              <w:jc w:val="left"/>
            </w:pPr>
            <w:r/>
            <w:r>
              <w:rPr>
                <w:rFonts w:ascii="Calibri" w:hAnsi="Calibri" w:eastAsia="Microsoft YaHei"/>
                <w:b/>
                <w:color w:val="16324F"/>
                <w:sz w:val="16"/>
              </w:rPr>
              <w:t>真实状态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sales.daily-report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2.1.0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daily_report@2.1.0</w:t>
            </w:r>
          </w:p>
        </w:tc>
        <w:tc>
          <w:tcPr>
            <w:tcW w:type="dxa" w:w="28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Context、AI Gateway、Task 创建/状态/租约</w:t>
            </w:r>
          </w:p>
        </w:tc>
        <w:tc>
          <w:tcPr>
            <w:tcW w:type="dxa" w:w="211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Runtime：是</w:t>
              <w:br/>
              <w:t>6 Runs：5 成功 / 1 失败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customer-service.reply-suggestion</w:t>
            </w:r>
          </w:p>
        </w:tc>
        <w:tc>
          <w:tcPr>
            <w:tcW w:type="dxa" w:w="850"/>
            <w:shd w:fill="FAFBFC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1.0.0</w:t>
            </w:r>
          </w:p>
        </w:tc>
        <w:tc>
          <w:tcPr>
            <w:tcW w:type="dxa" w:w="170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customer_service@1.0.0</w:t>
            </w:r>
          </w:p>
        </w:tc>
        <w:tc>
          <w:tcPr>
            <w:tcW w:type="dxa" w:w="280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Context、AI Gateway；要求人工确认</w:t>
            </w:r>
          </w:p>
        </w:tc>
        <w:tc>
          <w:tcPr>
            <w:tcW w:type="dxa" w:w="211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Runtime：是</w:t>
              <w:br/>
              <w:t>21 Runs：全部成功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Fulfillment Agent</w:t>
            </w:r>
          </w:p>
        </w:tc>
        <w:tc>
          <w:tcPr>
            <w:tcW w:type="dxa" w:w="850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legacy</w:t>
            </w:r>
          </w:p>
        </w:tc>
        <w:tc>
          <w:tcPr>
            <w:tcW w:type="dxa" w:w="17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自定义履约上下文</w:t>
            </w:r>
          </w:p>
        </w:tc>
        <w:tc>
          <w:tcPr>
            <w:tcW w:type="dxa" w:w="28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自定义 Fulfillment Tools；只读多步推理</w:t>
            </w:r>
          </w:p>
        </w:tc>
        <w:tc>
          <w:tcPr>
            <w:tcW w:type="dxa" w:w="211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Runtime：否</w:t>
              <w:br/>
              <w:t>0 Runs；服务离线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Foundation 真实数据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30" w:type="dxa"/>
              <w:start w:w="100" w:type="dxa"/>
              <w:bottom w:w="130" w:type="dxa"/>
              <w:end w:w="100" w:type="dxa"/>
            </w:tcMar>
            <w:shd w:fill="E8EEF5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34"/>
              </w:rPr>
              <w:t>27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67085"/>
                <w:sz w:val="16"/>
              </w:rPr>
              <w:t>Agent Runs</w:t>
            </w:r>
          </w:p>
        </w:tc>
        <w:tc>
          <w:tcPr>
            <w:tcW w:type="dxa" w:w="2340"/>
            <w:tcMar>
              <w:top w:w="130" w:type="dxa"/>
              <w:start w:w="100" w:type="dxa"/>
              <w:bottom w:w="130" w:type="dxa"/>
              <w:end w:w="100" w:type="dxa"/>
            </w:tcMar>
            <w:shd w:fill="F4F7FB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34"/>
              </w:rPr>
              <w:t>78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67085"/>
                <w:sz w:val="16"/>
              </w:rPr>
              <w:t>Tool Calls</w:t>
            </w:r>
          </w:p>
        </w:tc>
        <w:tc>
          <w:tcPr>
            <w:tcW w:type="dxa" w:w="2340"/>
            <w:tcMar>
              <w:top w:w="130" w:type="dxa"/>
              <w:start w:w="100" w:type="dxa"/>
              <w:bottom w:w="130" w:type="dxa"/>
              <w:end w:w="100" w:type="dxa"/>
            </w:tcMar>
            <w:shd w:fill="E8EEF5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34"/>
              </w:rPr>
              <w:t>87,038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67085"/>
                <w:sz w:val="16"/>
              </w:rPr>
              <w:t>Tokens</w:t>
            </w:r>
          </w:p>
        </w:tc>
        <w:tc>
          <w:tcPr>
            <w:tcW w:type="dxa" w:w="2340"/>
            <w:tcMar>
              <w:top w:w="130" w:type="dxa"/>
              <w:start w:w="100" w:type="dxa"/>
              <w:bottom w:w="130" w:type="dxa"/>
              <w:end w:w="100" w:type="dxa"/>
            </w:tcMar>
            <w:shd w:fill="F4F7FB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6324F"/>
                <w:sz w:val="34"/>
              </w:rPr>
              <w:t>0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667085"/>
                <w:sz w:val="16"/>
              </w:rPr>
              <w:t>Evaluation Events</w:t>
            </w:r>
          </w:p>
        </w:tc>
      </w:tr>
    </w:tbl>
    <w:p>
      <w:pPr>
        <w:spacing w:after="0"/>
      </w:pP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color w:val="1F2937"/>
        </w:rPr>
        <w:t>Foundation Tasks 共 477：218 Succeeded、251 Ready、3 Failed、5 Cancelled。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color w:val="1F2937"/>
        </w:rPr>
        <w:t>Agent Registry 是进程内存注册表，不是中心持久化目录。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color w:val="1F2937"/>
        </w:rPr>
        <w:t>主进程和 Scheduler 各有独立 Context Registry：五个默认业务 Context，再注册专用 Context。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color w:val="1F2937"/>
        </w:rPr>
        <w:t>Tool Registry 包含三个业务查询、任务建议，以及 Context/Gateway/Task 生命周期工具。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color w:val="1F2937"/>
        </w:rPr>
        <w:t>商品 AI、销售手工 AI、竞品主图和 Listing AI 是 AI 服务调用，不是正式 Agent。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45309"/>
          <w:left w:val="single" w:sz="8" w:space="0" w:color="B45309"/>
          <w:bottom w:val="single" w:sz="8" w:space="0" w:color="B45309"/>
          <w:right w:val="single" w:sz="8" w:space="0" w:color="B45309"/>
          <w:insideH w:val="single" w:sz="8" w:space="0" w:color="B45309"/>
          <w:insideV w:val="single" w:sz="8" w:space="0" w:color="B45309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EF3C7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B45309"/>
                <w:sz w:val="20"/>
              </w:rPr>
              <w:t>当前定位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20"/>
              </w:rPr>
              <w:t>Agent 现在适合作为受治理的决策建议层，不适合作为无需人工确认的自主执行层。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ReportKicker"/>
        <w:jc w:val="left"/>
      </w:pPr>
      <w:r>
        <w:rPr>
          <w:rFonts w:ascii="Calibri" w:hAnsi="Calibri" w:eastAsia="Microsoft YaHei"/>
          <w:b/>
          <w:color w:val="B58A24"/>
          <w:sz w:val="18"/>
        </w:rPr>
        <w:t>DATA ARCHITECTURE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5. 数据库与 Provider 架构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050"/>
        <w:gridCol w:w="1350"/>
        <w:gridCol w:w="1100"/>
        <w:gridCol w:w="1100"/>
        <w:gridCol w:w="3760"/>
      </w:tblGrid>
      <w:tr>
        <w:trPr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pStyle w:val="TableHeader"/>
              <w:jc w:val="left"/>
            </w:pPr>
            <w:r/>
            <w:r>
              <w:rPr>
                <w:rFonts w:ascii="Calibri" w:hAnsi="Calibri" w:eastAsia="Microsoft YaHei"/>
                <w:b/>
                <w:color w:val="16324F"/>
                <w:sz w:val="16"/>
              </w:rPr>
              <w:t>环境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pStyle w:val="TableHeader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6"/>
              </w:rPr>
              <w:t>Provider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pStyle w:val="TableHeader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6"/>
              </w:rPr>
              <w:t>大小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pStyle w:val="TableHeader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6"/>
              </w:rPr>
              <w:t>表 / 视图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pStyle w:val="TableHeader"/>
              <w:jc w:val="left"/>
            </w:pPr>
            <w:r/>
            <w:r>
              <w:rPr>
                <w:rFonts w:ascii="Calibri" w:hAnsi="Calibri" w:eastAsia="Microsoft YaHei"/>
                <w:b/>
                <w:color w:val="16324F"/>
                <w:sz w:val="16"/>
              </w:rPr>
              <w:t>当前用途</w:t>
            </w:r>
          </w:p>
        </w:tc>
      </w:tr>
      <w:tr>
        <w:trPr>
          <w:cantSplit/>
        </w:trPr>
        <w:tc>
          <w:tcPr>
            <w:tcW w:type="dxa" w:w="205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commerce_ops</w:t>
            </w:r>
          </w:p>
        </w:tc>
        <w:tc>
          <w:tcPr>
            <w:tcW w:type="dxa" w:w="1350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PostgreSQL 18.4</w:t>
            </w:r>
          </w:p>
        </w:tc>
        <w:tc>
          <w:tcPr>
            <w:tcW w:type="dxa" w:w="1100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7.14 GiB</w:t>
            </w:r>
          </w:p>
        </w:tc>
        <w:tc>
          <w:tcPr>
            <w:tcW w:type="dxa" w:w="1100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141 / 21</w:t>
            </w:r>
          </w:p>
        </w:tc>
        <w:tc>
          <w:tcPr>
            <w:tcW w:type="dxa" w:w="376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生产主库；28 app migrations；19 Shadow extensions</w:t>
            </w:r>
          </w:p>
        </w:tc>
      </w:tr>
      <w:tr>
        <w:trPr>
          <w:cantSplit/>
        </w:trPr>
        <w:tc>
          <w:tcPr>
            <w:tcW w:type="dxa" w:w="205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commerce-ops.sqlite</w:t>
            </w:r>
          </w:p>
        </w:tc>
        <w:tc>
          <w:tcPr>
            <w:tcW w:type="dxa" w:w="1350"/>
            <w:shd w:fill="FAFBFC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SQLite</w:t>
            </w:r>
          </w:p>
        </w:tc>
        <w:tc>
          <w:tcPr>
            <w:tcW w:type="dxa" w:w="1100"/>
            <w:shd w:fill="FAFBFC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3.27 GiB</w:t>
            </w:r>
          </w:p>
        </w:tc>
        <w:tc>
          <w:tcPr>
            <w:tcW w:type="dxa" w:w="1100"/>
            <w:shd w:fill="FAFBFC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92 / 15</w:t>
            </w:r>
          </w:p>
        </w:tc>
        <w:tc>
          <w:tcPr>
            <w:tcW w:type="dxa" w:w="376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切换前快照；非主写库</w:t>
            </w:r>
          </w:p>
        </w:tc>
      </w:tr>
      <w:tr>
        <w:trPr>
          <w:cantSplit/>
        </w:trPr>
        <w:tc>
          <w:tcPr>
            <w:tcW w:type="dxa" w:w="205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commerce_ops_shadow</w:t>
            </w:r>
          </w:p>
        </w:tc>
        <w:tc>
          <w:tcPr>
            <w:tcW w:type="dxa" w:w="1350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PostgreSQL</w:t>
            </w:r>
          </w:p>
        </w:tc>
        <w:tc>
          <w:tcPr>
            <w:tcW w:type="dxa" w:w="1100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2.34 GiB</w:t>
            </w:r>
          </w:p>
        </w:tc>
        <w:tc>
          <w:tcPr>
            <w:tcW w:type="dxa" w:w="1100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97 / 15</w:t>
            </w:r>
          </w:p>
        </w:tc>
        <w:tc>
          <w:tcPr>
            <w:tcW w:type="dxa" w:w="376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历史 Shadow；扩展迁移到 006</w:t>
            </w:r>
          </w:p>
        </w:tc>
      </w:tr>
      <w:tr>
        <w:trPr>
          <w:cantSplit/>
        </w:trPr>
        <w:tc>
          <w:tcPr>
            <w:tcW w:type="dxa" w:w="205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commerce_ops_staging</w:t>
            </w:r>
          </w:p>
        </w:tc>
        <w:tc>
          <w:tcPr>
            <w:tcW w:type="dxa" w:w="1350"/>
            <w:shd w:fill="FAFBFC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PostgreSQL</w:t>
            </w:r>
          </w:p>
        </w:tc>
        <w:tc>
          <w:tcPr>
            <w:tcW w:type="dxa" w:w="1100"/>
            <w:shd w:fill="FAFBFC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1.43 GiB</w:t>
            </w:r>
          </w:p>
        </w:tc>
        <w:tc>
          <w:tcPr>
            <w:tcW w:type="dxa" w:w="1100"/>
            <w:shd w:fill="FAFBFC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97 / 15</w:t>
            </w:r>
          </w:p>
        </w:tc>
        <w:tc>
          <w:tcPr>
            <w:tcW w:type="dxa" w:w="376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Staging 演练；扩展迁移到 006</w:t>
            </w:r>
          </w:p>
        </w:tc>
      </w:tr>
      <w:tr>
        <w:trPr>
          <w:cantSplit/>
        </w:trPr>
        <w:tc>
          <w:tcPr>
            <w:tcW w:type="dxa" w:w="205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cutover_rehearsal</w:t>
            </w:r>
          </w:p>
        </w:tc>
        <w:tc>
          <w:tcPr>
            <w:tcW w:type="dxa" w:w="1350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PostgreSQL</w:t>
            </w:r>
          </w:p>
        </w:tc>
        <w:tc>
          <w:tcPr>
            <w:tcW w:type="dxa" w:w="1100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3.39 GiB</w:t>
            </w:r>
          </w:p>
        </w:tc>
        <w:tc>
          <w:tcPr>
            <w:tcW w:type="dxa" w:w="1100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101 / 15</w:t>
            </w:r>
          </w:p>
        </w:tc>
        <w:tc>
          <w:tcPr>
            <w:tcW w:type="dxa" w:w="376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切换演练；扩展迁移到 008</w:t>
            </w:r>
          </w:p>
        </w:tc>
      </w:tr>
      <w:tr>
        <w:trPr>
          <w:cantSplit/>
        </w:trPr>
        <w:tc>
          <w:tcPr>
            <w:tcW w:type="dxa" w:w="205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migration_test</w:t>
            </w:r>
          </w:p>
        </w:tc>
        <w:tc>
          <w:tcPr>
            <w:tcW w:type="dxa" w:w="1350"/>
            <w:shd w:fill="FAFBFC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PostgreSQL</w:t>
            </w:r>
          </w:p>
        </w:tc>
        <w:tc>
          <w:tcPr>
            <w:tcW w:type="dxa" w:w="1100"/>
            <w:shd w:fill="FAFBFC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约 23 MiB</w:t>
            </w:r>
          </w:p>
        </w:tc>
        <w:tc>
          <w:tcPr>
            <w:tcW w:type="dxa" w:w="1100"/>
            <w:shd w:fill="FAFBFC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139 / 21</w:t>
            </w:r>
          </w:p>
        </w:tc>
        <w:tc>
          <w:tcPr>
            <w:tcW w:type="dxa" w:w="376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迁移测试；扩展迁移到 018</w:t>
            </w:r>
          </w:p>
        </w:tc>
      </w:tr>
      <w:tr>
        <w:trPr>
          <w:cantSplit/>
        </w:trPr>
        <w:tc>
          <w:tcPr>
            <w:tcW w:type="dxa" w:w="205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staging_restore</w:t>
            </w:r>
          </w:p>
        </w:tc>
        <w:tc>
          <w:tcPr>
            <w:tcW w:type="dxa" w:w="1350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PostgreSQL</w:t>
            </w:r>
          </w:p>
        </w:tc>
        <w:tc>
          <w:tcPr>
            <w:tcW w:type="dxa" w:w="1100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1.21 GiB</w:t>
            </w:r>
          </w:p>
        </w:tc>
        <w:tc>
          <w:tcPr>
            <w:tcW w:type="dxa" w:w="1100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97 / 15</w:t>
            </w:r>
          </w:p>
        </w:tc>
        <w:tc>
          <w:tcPr>
            <w:tcW w:type="dxa" w:w="376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历史恢复验证库</w:t>
            </w:r>
          </w:p>
        </w:tc>
      </w:tr>
      <w:tr>
        <w:trPr>
          <w:cantSplit/>
        </w:trPr>
        <w:tc>
          <w:tcPr>
            <w:tcW w:type="dxa" w:w="205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 个 shadow attempts</w:t>
            </w:r>
          </w:p>
        </w:tc>
        <w:tc>
          <w:tcPr>
            <w:tcW w:type="dxa" w:w="1350"/>
            <w:shd w:fill="FAFBFC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PostgreSQL</w:t>
            </w:r>
          </w:p>
        </w:tc>
        <w:tc>
          <w:tcPr>
            <w:tcW w:type="dxa" w:w="1100"/>
            <w:shd w:fill="FAFBFC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约 410 MiB</w:t>
            </w:r>
          </w:p>
        </w:tc>
        <w:tc>
          <w:tcPr>
            <w:tcW w:type="dxa" w:w="1100"/>
            <w:shd w:fill="FAFBFC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各 88 / 0</w:t>
            </w:r>
          </w:p>
        </w:tc>
        <w:tc>
          <w:tcPr>
            <w:tcW w:type="dxa" w:w="376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失败/中间尝试遗留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生产迁移状态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45309"/>
          <w:left w:val="single" w:sz="8" w:space="0" w:color="B45309"/>
          <w:bottom w:val="single" w:sz="8" w:space="0" w:color="B45309"/>
          <w:right w:val="single" w:sz="8" w:space="0" w:color="B45309"/>
          <w:insideH w:val="single" w:sz="8" w:space="0" w:color="B45309"/>
          <w:insideV w:val="single" w:sz="8" w:space="0" w:color="B45309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EF3C7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B45309"/>
                <w:sz w:val="20"/>
              </w:rPr>
              <w:t>P1 - Migration Governance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20"/>
              </w:rPr>
              <w:t>当日上午审计发现的库存调拨待发字段缺口已通过 app 迁移 032 完成落地，并已导入 108,624 行最新批次。遗留问题转为迁移沿革治理：旧 Shadow 015 与 app 账本采用不同编号体系，需要统一基线、说明和演练环境。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Provider 覆盖与 SQLite 依赖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color w:val="1F2937"/>
        </w:rPr>
        <w:t>核心 Provider 化：Scheduler、Task、Run、Audit、文件、商品、销售、库存、订单、利润、控价、客服、知识库、Growth Radar、Context、Agent Observability。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color w:val="1F2937"/>
        </w:rPr>
        <w:t>仍在生产使用的 SQLite：Connector 控制面、LiaoLiao Edge、本地 Listing Publisher。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color w:val="1F2937"/>
        </w:rPr>
        <w:t>commerce-ops.sqlite 仅作为切换快照和兼容验证，不再是主写库。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color w:val="1F2937"/>
        </w:rPr>
        <w:t>合理方向不是立即消灭边缘 SQLite，而是明确其缓存/边缘属性，并把权威事实与审计同步至 PostgreSQL。</w:t>
      </w:r>
    </w:p>
    <w:p>
      <w:r>
        <w:br w:type="page"/>
      </w:r>
    </w:p>
    <w:p>
      <w:pPr>
        <w:pStyle w:val="ReportKicker"/>
        <w:jc w:val="left"/>
      </w:pPr>
      <w:r>
        <w:rPr>
          <w:rFonts w:ascii="Calibri" w:hAnsi="Calibri" w:eastAsia="Microsoft YaHei"/>
          <w:b/>
          <w:color w:val="B58A24"/>
          <w:sz w:val="18"/>
        </w:rPr>
        <w:t>DATA ASSETS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6. 数据资产规模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700"/>
        <w:gridCol w:w="4300"/>
        <w:gridCol w:w="33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pStyle w:val="TableHeader"/>
              <w:jc w:val="left"/>
            </w:pPr>
            <w:r/>
            <w:r>
              <w:rPr>
                <w:rFonts w:ascii="Calibri" w:hAnsi="Calibri" w:eastAsia="Microsoft YaHei"/>
                <w:b/>
                <w:color w:val="16324F"/>
                <w:sz w:val="16"/>
              </w:rPr>
              <w:t>资产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pStyle w:val="TableHeader"/>
              <w:jc w:val="left"/>
            </w:pPr>
            <w:r/>
            <w:r>
              <w:rPr>
                <w:rFonts w:ascii="Calibri" w:hAnsi="Calibri" w:eastAsia="Microsoft YaHei"/>
                <w:b/>
                <w:color w:val="16324F"/>
                <w:sz w:val="16"/>
              </w:rPr>
              <w:t>当前规模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pStyle w:val="TableHeader"/>
              <w:jc w:val="left"/>
            </w:pPr>
            <w:r/>
            <w:r>
              <w:rPr>
                <w:rFonts w:ascii="Calibri" w:hAnsi="Calibri" w:eastAsia="Microsoft YaHei"/>
                <w:b/>
                <w:color w:val="16324F"/>
                <w:sz w:val="16"/>
              </w:rPr>
              <w:t>存储位置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订单</w:t>
            </w:r>
          </w:p>
        </w:tc>
        <w:tc>
          <w:tcPr>
            <w:tcW w:type="dxa" w:w="43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13,111 订单头；15,497 行；23,352 原始记录</w:t>
            </w:r>
          </w:p>
        </w:tc>
        <w:tc>
          <w:tcPr>
            <w:tcW w:type="dxa" w:w="336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PostgreSQL app</w:t>
            </w:r>
          </w:p>
        </w:tc>
      </w:tr>
      <w:tr>
        <w:trPr>
          <w:cantSplit/>
        </w:trPr>
        <w:tc>
          <w:tcPr>
            <w:tcW w:type="dxa" w:w="170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库存</w:t>
            </w:r>
          </w:p>
        </w:tc>
        <w:tc>
          <w:tcPr>
            <w:tcW w:type="dxa" w:w="430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298,690 快照；298,719 原始记录</w:t>
            </w:r>
          </w:p>
        </w:tc>
        <w:tc>
          <w:tcPr>
            <w:tcW w:type="dxa" w:w="336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PostgreSQL app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商品</w:t>
            </w:r>
          </w:p>
        </w:tc>
        <w:tc>
          <w:tcPr>
            <w:tcW w:type="dxa" w:w="43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76,114 SKU；121,176 产品包行</w:t>
            </w:r>
          </w:p>
        </w:tc>
        <w:tc>
          <w:tcPr>
            <w:tcW w:type="dxa" w:w="336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PostgreSQL app</w:t>
            </w:r>
          </w:p>
        </w:tc>
      </w:tr>
      <w:tr>
        <w:trPr>
          <w:cantSplit/>
        </w:trPr>
        <w:tc>
          <w:tcPr>
            <w:tcW w:type="dxa" w:w="170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商品媒体</w:t>
            </w:r>
          </w:p>
        </w:tc>
        <w:tc>
          <w:tcPr>
            <w:tcW w:type="dxa" w:w="430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13,822 文件 / 约 1.64 GiB；74,385 个关联</w:t>
            </w:r>
          </w:p>
        </w:tc>
        <w:tc>
          <w:tcPr>
            <w:tcW w:type="dxa" w:w="336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storage/product-media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正式商品图片</w:t>
            </w:r>
          </w:p>
        </w:tc>
        <w:tc>
          <w:tcPr>
            <w:tcW w:type="dxa" w:w="43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product_images = 0</w:t>
            </w:r>
          </w:p>
        </w:tc>
        <w:tc>
          <w:tcPr>
            <w:tcW w:type="dxa" w:w="336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PostgreSQL app</w:t>
            </w:r>
          </w:p>
        </w:tc>
      </w:tr>
      <w:tr>
        <w:trPr>
          <w:cantSplit/>
        </w:trPr>
        <w:tc>
          <w:tcPr>
            <w:tcW w:type="dxa" w:w="170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Excel</w:t>
            </w:r>
          </w:p>
        </w:tc>
        <w:tc>
          <w:tcPr>
            <w:tcW w:type="dxa" w:w="430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53 个 .xlsx / 约 168 MiB</w:t>
            </w:r>
          </w:p>
        </w:tc>
        <w:tc>
          <w:tcPr>
            <w:tcW w:type="dxa" w:w="336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storage/exports、exports、outputs、docs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运行报告</w:t>
            </w:r>
          </w:p>
        </w:tc>
        <w:tc>
          <w:tcPr>
            <w:tcW w:type="dxa" w:w="43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storage/reports 15 文件；outputs 399 文件</w:t>
            </w:r>
          </w:p>
        </w:tc>
        <w:tc>
          <w:tcPr>
            <w:tcW w:type="dxa" w:w="336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本地文件系统</w:t>
            </w:r>
          </w:p>
        </w:tc>
      </w:tr>
      <w:tr>
        <w:trPr>
          <w:cantSplit/>
        </w:trPr>
        <w:tc>
          <w:tcPr>
            <w:tcW w:type="dxa" w:w="170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利润</w:t>
            </w:r>
          </w:p>
        </w:tc>
        <w:tc>
          <w:tcPr>
            <w:tcW w:type="dxa" w:w="430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790 Runs；937 Shop Results；27,482 财务交易</w:t>
            </w:r>
          </w:p>
        </w:tc>
        <w:tc>
          <w:tcPr>
            <w:tcW w:type="dxa" w:w="336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PostgreSQL app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控价</w:t>
            </w:r>
          </w:p>
        </w:tc>
        <w:tc>
          <w:tcPr>
            <w:tcW w:type="dxa" w:w="43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2.13M 快照；710K 当前价格；659K 变更</w:t>
            </w:r>
          </w:p>
        </w:tc>
        <w:tc>
          <w:tcPr>
            <w:tcW w:type="dxa" w:w="336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PostgreSQL app</w:t>
            </w:r>
          </w:p>
        </w:tc>
      </w:tr>
      <w:tr>
        <w:trPr>
          <w:cantSplit/>
        </w:trPr>
        <w:tc>
          <w:tcPr>
            <w:tcW w:type="dxa" w:w="170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客服</w:t>
            </w:r>
          </w:p>
        </w:tc>
        <w:tc>
          <w:tcPr>
            <w:tcW w:type="dxa" w:w="430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44 会话；265 消息；41 建议；7 审核</w:t>
            </w:r>
          </w:p>
        </w:tc>
        <w:tc>
          <w:tcPr>
            <w:tcW w:type="dxa" w:w="336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PostgreSQL app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Agent</w:t>
            </w:r>
          </w:p>
        </w:tc>
        <w:tc>
          <w:tcPr>
            <w:tcW w:type="dxa" w:w="43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27 Runs；78 Tool Calls；87,038 Tokens</w:t>
            </w:r>
          </w:p>
        </w:tc>
        <w:tc>
          <w:tcPr>
            <w:tcW w:type="dxa" w:w="336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operation_audit_events</w:t>
            </w:r>
          </w:p>
        </w:tc>
      </w:tr>
      <w:tr>
        <w:trPr>
          <w:cantSplit/>
        </w:trPr>
        <w:tc>
          <w:tcPr>
            <w:tcW w:type="dxa" w:w="170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审计</w:t>
            </w:r>
          </w:p>
        </w:tc>
        <w:tc>
          <w:tcPr>
            <w:tcW w:type="dxa" w:w="430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169,018 条事件</w:t>
            </w:r>
          </w:p>
        </w:tc>
        <w:tc>
          <w:tcPr>
            <w:tcW w:type="dxa" w:w="336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PostgreSQL app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旧 SQLite 备份</w:t>
            </w:r>
          </w:p>
        </w:tc>
        <w:tc>
          <w:tcPr>
            <w:tcW w:type="dxa" w:w="43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62 文件 / 约 24.02 GiB</w:t>
            </w:r>
          </w:p>
        </w:tc>
        <w:tc>
          <w:tcPr>
            <w:tcW w:type="dxa" w:w="336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storage/backups</w:t>
            </w:r>
          </w:p>
        </w:tc>
      </w:tr>
      <w:tr>
        <w:trPr>
          <w:cantSplit/>
        </w:trPr>
        <w:tc>
          <w:tcPr>
            <w:tcW w:type="dxa" w:w="170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PostgreSQL WAL</w:t>
            </w:r>
          </w:p>
        </w:tc>
        <w:tc>
          <w:tcPr>
            <w:tcW w:type="dxa" w:w="430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5,125 文件 / 约 80.05 GiB</w:t>
            </w:r>
          </w:p>
        </w:tc>
        <w:tc>
          <w:tcPr>
            <w:tcW w:type="dxa" w:w="336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D:\PostgreSQLBackups\wal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Base Backup</w:t>
            </w:r>
          </w:p>
        </w:tc>
        <w:tc>
          <w:tcPr>
            <w:tcW w:type="dxa" w:w="43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 份 / 共 5.69 GiB；正式备份 2.847 GiB</w:t>
            </w:r>
          </w:p>
        </w:tc>
        <w:tc>
          <w:tcPr>
            <w:tcW w:type="dxa" w:w="336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D:\PostgreSQLBackups\base_backup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未来迁移建议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color w:val="1F2937"/>
        </w:rPr>
        <w:t>商品媒体、导出和报告逐步进入对象存储，数据库保留不可变 Key、Hash、版本和生命周期。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color w:val="1F2937"/>
        </w:rPr>
        <w:t>历史 SQLite 快照建立保留策略，避免与 PostgreSQL 备份重复占用磁盘。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color w:val="1F2937"/>
        </w:rPr>
        <w:t>Connector/Edge SQLite 保留本地缓存属性，但建立中心状态同步和恢复合同。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color w:val="1F2937"/>
        </w:rPr>
        <w:t>WAL 和 Base Backup 至少复制一份到异盘或异机。</w:t>
      </w:r>
    </w:p>
    <w:p>
      <w:r>
        <w:br w:type="page"/>
      </w:r>
    </w:p>
    <w:p>
      <w:pPr>
        <w:pStyle w:val="ReportKicker"/>
        <w:jc w:val="left"/>
      </w:pPr>
      <w:r>
        <w:rPr>
          <w:rFonts w:ascii="Calibri" w:hAnsi="Calibri" w:eastAsia="Microsoft YaHei"/>
          <w:b/>
          <w:color w:val="B58A24"/>
          <w:sz w:val="18"/>
        </w:rPr>
        <w:t>SECURITY &amp; OPERATIONS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7. 安全与生产能力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900"/>
        <w:gridCol w:w="1450"/>
        <w:gridCol w:w="601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pStyle w:val="TableHeader"/>
              <w:jc w:val="left"/>
            </w:pPr>
            <w:r/>
            <w:r>
              <w:rPr>
                <w:rFonts w:ascii="Calibri" w:hAnsi="Calibri" w:eastAsia="Microsoft YaHei"/>
                <w:b/>
                <w:color w:val="16324F"/>
                <w:sz w:val="16"/>
              </w:rPr>
              <w:t>能力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pStyle w:val="TableHeader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6"/>
              </w:rPr>
              <w:t>评价</w:t>
            </w:r>
          </w:p>
        </w:tc>
        <w:tc>
          <w:tcPr>
            <w:tcW w:type="dxa" w:w="60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pStyle w:val="TableHeader"/>
              <w:jc w:val="left"/>
            </w:pPr>
            <w:r/>
            <w:r>
              <w:rPr>
                <w:rFonts w:ascii="Calibri" w:hAnsi="Calibri" w:eastAsia="Microsoft YaHei"/>
                <w:b/>
                <w:color w:val="16324F"/>
                <w:sz w:val="16"/>
              </w:rPr>
              <w:t>当前事实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用户认证</w:t>
            </w:r>
          </w:p>
        </w:tc>
        <w:tc>
          <w:tcPr>
            <w:tcW w:type="dxa" w:w="1450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9B1C1C"/>
                <w:sz w:val="16"/>
              </w:rPr>
              <w:t>高风险</w:t>
            </w:r>
          </w:p>
        </w:tc>
        <w:tc>
          <w:tcPr>
            <w:tcW w:type="dxa" w:w="601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代码支持 Bearer Token，但当前是 0.0.0.0:3101 + 局域网免认证。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用户权限 / RBAC</w:t>
            </w:r>
          </w:p>
        </w:tc>
        <w:tc>
          <w:tcPr>
            <w:tcW w:type="dxa" w:w="1450"/>
            <w:shd w:fill="FAFBFC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B45309"/>
                <w:sz w:val="16"/>
              </w:rPr>
              <w:t>不完整</w:t>
            </w:r>
          </w:p>
        </w:tc>
        <w:tc>
          <w:tcPr>
            <w:tcW w:type="dxa" w:w="601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存在领域 Access Policy，但没有多用户账号、角色和店铺级身份绑定。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Token 管理</w:t>
            </w:r>
          </w:p>
        </w:tc>
        <w:tc>
          <w:tcPr>
            <w:tcW w:type="dxa" w:w="1450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5803D"/>
                <w:sz w:val="16"/>
              </w:rPr>
              <w:t>较好</w:t>
            </w:r>
          </w:p>
        </w:tc>
        <w:tc>
          <w:tcPr>
            <w:tcW w:type="dxa" w:w="601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Connector Token 使用 AES-256-GCM；侧车和 CS Worker 使用独立 Token。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平台写保护</w:t>
            </w:r>
          </w:p>
        </w:tc>
        <w:tc>
          <w:tcPr>
            <w:tcW w:type="dxa" w:w="1450"/>
            <w:shd w:fill="FAFBFC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5803D"/>
                <w:sz w:val="16"/>
              </w:rPr>
              <w:t>良好</w:t>
            </w:r>
          </w:p>
        </w:tc>
        <w:tc>
          <w:tcPr>
            <w:tcW w:type="dxa" w:w="601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COMMERCE_PLATFORM_WRITES_ENABLED=false；客服 Auto Send=false。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Audit</w:t>
            </w:r>
          </w:p>
        </w:tc>
        <w:tc>
          <w:tcPr>
            <w:tcW w:type="dxa" w:w="1450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5803D"/>
                <w:sz w:val="16"/>
              </w:rPr>
              <w:t>较完整</w:t>
            </w:r>
          </w:p>
        </w:tc>
        <w:tc>
          <w:tcPr>
            <w:tcW w:type="dxa" w:w="601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Request ID、脱敏、错误码、Task/Agent/文件/平台审计；169,018 条。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网络安全</w:t>
            </w:r>
          </w:p>
        </w:tc>
        <w:tc>
          <w:tcPr>
            <w:tcW w:type="dxa" w:w="1450"/>
            <w:shd w:fill="FAFBFC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5803D"/>
                <w:sz w:val="16"/>
              </w:rPr>
              <w:t>较完整</w:t>
            </w:r>
          </w:p>
        </w:tc>
        <w:tc>
          <w:tcPr>
            <w:tcW w:type="dxa" w:w="601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域名白名单、DNS 复核、私网、重定向和 SSRF 拦截。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文件安全</w:t>
            </w:r>
          </w:p>
        </w:tc>
        <w:tc>
          <w:tcPr>
            <w:tcW w:type="dxa" w:w="1450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5803D"/>
                <w:sz w:val="16"/>
              </w:rPr>
              <w:t>较完整</w:t>
            </w:r>
          </w:p>
        </w:tc>
        <w:tc>
          <w:tcPr>
            <w:tcW w:type="dxa" w:w="601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大小、MIME、签名、ZIP、工作表、公式、路径、隔离和生命周期检查。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数据库隔离</w:t>
            </w:r>
          </w:p>
        </w:tc>
        <w:tc>
          <w:tcPr>
            <w:tcW w:type="dxa" w:w="1450"/>
            <w:shd w:fill="FAFBFC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15803D"/>
                <w:sz w:val="16"/>
              </w:rPr>
              <w:t>较好</w:t>
            </w:r>
          </w:p>
        </w:tc>
        <w:tc>
          <w:tcPr>
            <w:tcW w:type="dxa" w:w="601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app/migrator/admin 角色分离；PostgreSQL TLS 固定 CA。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应用 TLS</w:t>
            </w:r>
          </w:p>
        </w:tc>
        <w:tc>
          <w:tcPr>
            <w:tcW w:type="dxa" w:w="1450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9B1C1C"/>
                <w:sz w:val="16"/>
              </w:rPr>
              <w:t>缺失</w:t>
            </w:r>
          </w:p>
        </w:tc>
        <w:tc>
          <w:tcPr>
            <w:tcW w:type="dxa" w:w="601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主站当前以 HTTP 暴露到 LAN。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Backup / Restore</w:t>
            </w:r>
          </w:p>
        </w:tc>
        <w:tc>
          <w:tcPr>
            <w:tcW w:type="dxa" w:w="1450"/>
            <w:shd w:fill="FAFBFC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B45309"/>
                <w:sz w:val="16"/>
              </w:rPr>
              <w:t>部分就绪</w:t>
            </w:r>
          </w:p>
        </w:tc>
        <w:tc>
          <w:tcPr>
            <w:tcW w:type="dxa" w:w="601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2.847 GiB 物理备份验证通过；完成隔离恢复；周任务尚未自然执行。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Monitoring</w:t>
            </w:r>
          </w:p>
        </w:tc>
        <w:tc>
          <w:tcPr>
            <w:tcW w:type="dxa" w:w="1450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B45309"/>
                <w:sz w:val="16"/>
              </w:rPr>
              <w:t>部分就绪</w:t>
            </w:r>
          </w:p>
        </w:tc>
        <w:tc>
          <w:tcPr>
            <w:tcW w:type="dxa" w:w="601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健康检查、Lease、Audit、Agent Monitoring、任务日志；缺少统一 SLO/告警。</w:t>
            </w:r>
          </w:p>
        </w:tc>
      </w:tr>
      <w:tr>
        <w:trPr>
          <w:cantSplit/>
        </w:trPr>
        <w:tc>
          <w:tcPr>
            <w:tcW w:type="dxa" w:w="190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Error Handling</w:t>
            </w:r>
          </w:p>
        </w:tc>
        <w:tc>
          <w:tcPr>
            <w:tcW w:type="dxa" w:w="1450"/>
            <w:shd w:fill="FAFBFC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/>
                <w:color w:val="B45309"/>
                <w:sz w:val="16"/>
              </w:rPr>
              <w:t>部分就绪</w:t>
            </w:r>
          </w:p>
        </w:tc>
        <w:tc>
          <w:tcPr>
            <w:tcW w:type="dxa" w:w="601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稳定错误码和输入限制较多；顶层仍可能返回原始 error.message。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生产能力判定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color w:val="1F2937"/>
        </w:rPr>
        <w:t>内部单机数据运营：可以。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color w:val="1F2937"/>
        </w:rPr>
        <w:t>局域网多人安全使用：当前不建议。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color w:val="1F2937"/>
        </w:rPr>
        <w:t>公网部署：不具备安全前提。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color w:val="1F2937"/>
        </w:rPr>
        <w:t>高可用生产：不具备，仍是单节点/单数据库实例。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color w:val="1F2937"/>
        </w:rPr>
        <w:t>自动执行型 Agent：当前不应启用。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color w:val="1F2937"/>
        </w:rPr>
        <w:t>人工确认后的受控写入：基础框架已具备。</w:t>
      </w:r>
    </w:p>
    <w:p>
      <w:r>
        <w:br w:type="page"/>
      </w:r>
    </w:p>
    <w:p>
      <w:pPr>
        <w:pStyle w:val="ReportKicker"/>
        <w:jc w:val="left"/>
      </w:pPr>
      <w:r>
        <w:rPr>
          <w:rFonts w:ascii="Calibri" w:hAnsi="Calibri" w:eastAsia="Microsoft YaHei"/>
          <w:b/>
          <w:color w:val="B58A24"/>
          <w:sz w:val="18"/>
        </w:rPr>
        <w:t>AGENT EVOLUTION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8. 未来 AI Agent 演进评估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250"/>
        <w:gridCol w:w="2350"/>
        <w:gridCol w:w="2900"/>
        <w:gridCol w:w="2100"/>
        <w:gridCol w:w="760"/>
      </w:tblGrid>
      <w:tr>
        <w:trPr>
          <w:tblHeader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pStyle w:val="TableHeader"/>
              <w:jc w:val="left"/>
            </w:pPr>
            <w:r/>
            <w:r>
              <w:rPr>
                <w:rFonts w:ascii="Calibri" w:hAnsi="Calibri" w:eastAsia="Microsoft YaHei"/>
                <w:b/>
                <w:color w:val="16324F"/>
                <w:sz w:val="16"/>
              </w:rPr>
              <w:t>Agent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pStyle w:val="TableHeader"/>
              <w:jc w:val="left"/>
            </w:pPr>
            <w:r/>
            <w:r>
              <w:rPr>
                <w:rFonts w:ascii="Calibri" w:hAnsi="Calibri" w:eastAsia="Microsoft YaHei"/>
                <w:b/>
                <w:color w:val="16324F"/>
                <w:sz w:val="16"/>
              </w:rPr>
              <w:t>已有能力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pStyle w:val="TableHeader"/>
              <w:jc w:val="left"/>
            </w:pPr>
            <w:r/>
            <w:r>
              <w:rPr>
                <w:rFonts w:ascii="Calibri" w:hAnsi="Calibri" w:eastAsia="Microsoft YaHei"/>
                <w:b/>
                <w:color w:val="16324F"/>
                <w:sz w:val="16"/>
              </w:rPr>
              <w:t>主要缺失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pStyle w:val="TableHeader"/>
              <w:jc w:val="left"/>
            </w:pPr>
            <w:r/>
            <w:r>
              <w:rPr>
                <w:rFonts w:ascii="Calibri" w:hAnsi="Calibri" w:eastAsia="Microsoft YaHei"/>
                <w:b/>
                <w:color w:val="16324F"/>
                <w:sz w:val="16"/>
              </w:rPr>
              <w:t>数据依赖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pStyle w:val="TableHeader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6"/>
              </w:rPr>
              <w:t>难度</w:t>
            </w:r>
          </w:p>
        </w:tc>
      </w:tr>
      <w:tr>
        <w:trPr>
          <w:cantSplit/>
        </w:trPr>
        <w:tc>
          <w:tcPr>
            <w:tcW w:type="dxa" w:w="125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商品 Agent</w:t>
            </w:r>
          </w:p>
        </w:tc>
        <w:tc>
          <w:tcPr>
            <w:tcW w:type="dxa" w:w="235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Product Context、商品中心、产品包、知识库</w:t>
            </w:r>
          </w:p>
        </w:tc>
        <w:tc>
          <w:tcPr>
            <w:tcW w:type="dxa" w:w="29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正式商品策略、图片/Listing 覆盖、审批写 Tool</w:t>
            </w:r>
          </w:p>
        </w:tc>
        <w:tc>
          <w:tcPr>
            <w:tcW w:type="dxa" w:w="21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商品 / 媒体 / Listing / 利润</w:t>
            </w:r>
          </w:p>
        </w:tc>
        <w:tc>
          <w:tcPr>
            <w:tcW w:type="dxa" w:w="760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中</w:t>
            </w:r>
          </w:p>
        </w:tc>
      </w:tr>
      <w:tr>
        <w:trPr>
          <w:cantSplit/>
        </w:trPr>
        <w:tc>
          <w:tcPr>
            <w:tcW w:type="dxa" w:w="125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库存 Agent</w:t>
            </w:r>
          </w:p>
        </w:tc>
        <w:tc>
          <w:tcPr>
            <w:tcW w:type="dxa" w:w="235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Inventory Context、299K 快照、销售分析</w:t>
            </w:r>
          </w:p>
        </w:tc>
        <w:tc>
          <w:tcPr>
            <w:tcW w:type="dxa" w:w="290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补货周期、在途/WMS 语义、预测、执行接口</w:t>
            </w:r>
          </w:p>
        </w:tc>
        <w:tc>
          <w:tcPr>
            <w:tcW w:type="dxa" w:w="210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库存 / 订单 / 采购 / 仓库</w:t>
            </w:r>
          </w:p>
        </w:tc>
        <w:tc>
          <w:tcPr>
            <w:tcW w:type="dxa" w:w="760"/>
            <w:shd w:fill="FAFBFC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125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店铺 Agent</w:t>
            </w:r>
          </w:p>
        </w:tc>
        <w:tc>
          <w:tcPr>
            <w:tcW w:type="dxa" w:w="235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Shop Context、134 店铺、销售/利润/客服</w:t>
            </w:r>
          </w:p>
        </w:tc>
        <w:tc>
          <w:tcPr>
            <w:tcW w:type="dxa" w:w="29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账号-店铺绑定、店铺级 RBAC、经营策略和预算</w:t>
            </w:r>
          </w:p>
        </w:tc>
        <w:tc>
          <w:tcPr>
            <w:tcW w:type="dxa" w:w="21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店铺 / 授权 / 利润 / 客服</w:t>
            </w:r>
          </w:p>
        </w:tc>
        <w:tc>
          <w:tcPr>
            <w:tcW w:type="dxa" w:w="760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125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广告 Agent</w:t>
            </w:r>
          </w:p>
        </w:tc>
        <w:tc>
          <w:tcPr>
            <w:tcW w:type="dxa" w:w="235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Lazada 广告分析器、费用事实、AI Gateway</w:t>
            </w:r>
          </w:p>
        </w:tc>
        <w:tc>
          <w:tcPr>
            <w:tcW w:type="dxa" w:w="290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统一广告事实、归因、Campaign Identity、预算保护</w:t>
            </w:r>
          </w:p>
        </w:tc>
        <w:tc>
          <w:tcPr>
            <w:tcW w:type="dxa" w:w="210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广告 / 订单 / 利润 / 商品</w:t>
            </w:r>
          </w:p>
        </w:tc>
        <w:tc>
          <w:tcPr>
            <w:tcW w:type="dxa" w:w="760"/>
            <w:shd w:fill="FAFBFC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125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竞品 Agent</w:t>
            </w:r>
          </w:p>
        </w:tc>
        <w:tc>
          <w:tcPr>
            <w:tcW w:type="dxa" w:w="235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链接、关键词、主图分析、浏览器安全策略</w:t>
            </w:r>
          </w:p>
        </w:tc>
        <w:tc>
          <w:tcPr>
            <w:tcW w:type="dxa" w:w="29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历史快照、竞品身份、证据库、稳定采集与合规</w:t>
            </w:r>
          </w:p>
        </w:tc>
        <w:tc>
          <w:tcPr>
            <w:tcW w:type="dxa" w:w="21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商品 / 关键词 / 价格 / 图片</w:t>
            </w:r>
          </w:p>
        </w:tc>
        <w:tc>
          <w:tcPr>
            <w:tcW w:type="dxa" w:w="760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中高</w:t>
            </w:r>
          </w:p>
        </w:tc>
      </w:tr>
      <w:tr>
        <w:trPr>
          <w:cantSplit/>
        </w:trPr>
        <w:tc>
          <w:tcPr>
            <w:tcW w:type="dxa" w:w="125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履约 Agent</w:t>
            </w:r>
          </w:p>
        </w:tc>
        <w:tc>
          <w:tcPr>
            <w:tcW w:type="dxa" w:w="235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履约服务、预检、批次、追踪恢复</w:t>
            </w:r>
          </w:p>
        </w:tc>
        <w:tc>
          <w:tcPr>
            <w:tcW w:type="dxa" w:w="290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接入正式 Runtime、启用服务、UAT、幂等/回滚</w:t>
            </w:r>
          </w:p>
        </w:tc>
        <w:tc>
          <w:tcPr>
            <w:tcW w:type="dxa" w:w="210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订单 / 库存 / 物流 / 平台写</w:t>
            </w:r>
          </w:p>
        </w:tc>
        <w:tc>
          <w:tcPr>
            <w:tcW w:type="dxa" w:w="760"/>
            <w:shd w:fill="FAFBFC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高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推荐建设顺序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color w:val="1F2937"/>
        </w:rPr>
        <w:t>商品 Agent：先做只读诊断和建议。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color w:val="1F2937"/>
        </w:rPr>
        <w:t>库存 Agent：先修数据完整性，再做补货建议。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color w:val="1F2937"/>
        </w:rPr>
        <w:t>将 Fulfillment Agent 迁入正式 Runtime，但继续只读。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color w:val="1F2937"/>
        </w:rPr>
        <w:t>竞品 Agent：建立历史数据后再 Agent 化。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color w:val="1F2937"/>
        </w:rPr>
        <w:t>店铺 Agent 与广告 Agent 最后建设，因为权限、预算和误操作成本最高。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F4F7FB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2E74B5"/>
                <w:sz w:val="20"/>
              </w:rPr>
              <w:t>演进原则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20"/>
              </w:rPr>
              <w:t>先把 Agent 建成可评估、可审计、可回放的建议系统，再通过任务审批、预览、幂等键和补偿机制开放有限写入。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ReportKicker"/>
        <w:jc w:val="left"/>
      </w:pPr>
      <w:r>
        <w:rPr>
          <w:rFonts w:ascii="Calibri" w:hAnsi="Calibri" w:eastAsia="Microsoft YaHei"/>
          <w:b/>
          <w:color w:val="B58A24"/>
          <w:sz w:val="18"/>
        </w:rPr>
        <w:t>RISKS &amp; ROADMAP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9. 技术债务与风险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P0 - 立即处理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color w:val="1F2937"/>
        </w:rPr>
        <w:t>局域网免认证：所有受保护 API 实际可由 LAN 设备访问。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color w:val="1F2937"/>
        </w:rPr>
        <w:t>Runtime 曾出现重复启动、EADDRINUSE 3101 和短暂离线。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color w:val="1F2937"/>
        </w:rPr>
        <w:t>WAL 已达约 80.05 GiB，Monitor 返回 1；主数据和备份集中在同一物理盘。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color w:val="1F2937"/>
        </w:rPr>
        <w:t>Git 工作区有 488 个变更项，无法形成可信发布基线。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P1 - 下一迭代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color w:val="1F2937"/>
        </w:rPr>
        <w:t>审计时测试基线为 1,193 项中 2 项失败：020 迁移测试清单未同步；商品清除人工覆盖未恢复源值；后续变更需重新执行全量测试确认。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color w:val="1F2937"/>
        </w:rPr>
        <w:t>app 迁移 032 已补齐生产字段，但旧 Shadow 015 与 app 账本编号沿革仍需形成统一基线。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color w:val="1F2937"/>
        </w:rPr>
        <w:t>Shadow、Staging 和演练库迁移版本落后于生产。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color w:val="1F2937"/>
        </w:rPr>
        <w:t>Agent Evaluation 已实现但生产数据为 0。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color w:val="1F2937"/>
        </w:rPr>
        <w:t>广告、Listing、履约和客服 Edge 的启动与存储生命周期碎片化。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color w:val="1F2937"/>
        </w:rPr>
        <w:t>server.mjs 作为 Composition Root 过大，故障影响面扩大。</w:t>
      </w:r>
    </w:p>
    <w:p>
      <w:pPr>
        <w:numPr>
          <w:ilvl w:val="0"/>
          <w:numId w:val="11"/>
        </w:numPr>
        <w:spacing w:after="160" w:line="280" w:lineRule="auto"/>
      </w:pPr>
      <w:r>
        <w:rPr>
          <w:rFonts w:ascii="Calibri" w:hAnsi="Calibri" w:eastAsia="Microsoft YaHei"/>
          <w:color w:val="1F2937"/>
        </w:rPr>
        <w:t>源码中存在大量疑似乱码中文文案，需要专项验证 UI、日志和错误响应。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10. 下一阶段推荐路线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300"/>
        <w:gridCol w:w="2200"/>
        <w:gridCol w:w="586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pStyle w:val="TableHeader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6"/>
              </w:rPr>
              <w:t>阶段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pStyle w:val="TableHeader"/>
              <w:jc w:val="left"/>
            </w:pPr>
            <w:r/>
            <w:r>
              <w:rPr>
                <w:rFonts w:ascii="Calibri" w:hAnsi="Calibri" w:eastAsia="Microsoft YaHei"/>
                <w:b/>
                <w:color w:val="16324F"/>
                <w:sz w:val="16"/>
              </w:rPr>
              <w:t>目标</w:t>
            </w:r>
          </w:p>
        </w:tc>
        <w:tc>
          <w:tcPr>
            <w:tcW w:type="dxa" w:w="5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pStyle w:val="TableHeader"/>
              <w:jc w:val="left"/>
            </w:pPr>
            <w:r/>
            <w:r>
              <w:rPr>
                <w:rFonts w:ascii="Calibri" w:hAnsi="Calibri" w:eastAsia="Microsoft YaHei"/>
                <w:b/>
                <w:color w:val="16324F"/>
                <w:sz w:val="16"/>
              </w:rPr>
              <w:t>关键动作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0-2 周</w:t>
            </w:r>
          </w:p>
        </w:tc>
        <w:tc>
          <w:tcPr>
            <w:tcW w:type="dxa" w:w="22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建立可控生产基线</w:t>
            </w:r>
          </w:p>
        </w:tc>
        <w:tc>
          <w:tcPr>
            <w:tcW w:type="dxa" w:w="586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启用 App Token；关闭免认证；统一迁移账本；修 Runtime 幂等；重跑并清零测试失败；异盘备份；形成可发布 Commit。</w:t>
            </w:r>
          </w:p>
        </w:tc>
      </w:tr>
      <w:tr>
        <w:trPr>
          <w:cantSplit/>
        </w:trPr>
        <w:tc>
          <w:tcPr>
            <w:tcW w:type="dxa" w:w="1300"/>
            <w:shd w:fill="FAFBFC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2-6 周</w:t>
            </w:r>
          </w:p>
        </w:tc>
        <w:tc>
          <w:tcPr>
            <w:tcW w:type="dxa" w:w="220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收敛数据与运维</w:t>
            </w:r>
          </w:p>
        </w:tc>
        <w:tc>
          <w:tcPr>
            <w:tcW w:type="dxa" w:w="586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统一迁移账本；重建与生产一致的 Staging；完成身份 Crosswalk；启用 Agent Evaluation；统一告警和保留策略。</w:t>
            </w:r>
          </w:p>
        </w:tc>
      </w:tr>
      <w:tr>
        <w:trPr>
          <w:cantSplit/>
        </w:trPr>
        <w:tc>
          <w:tcPr>
            <w:tcW w:type="dxa" w:w="1300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1-3 个月</w:t>
            </w:r>
          </w:p>
        </w:tc>
        <w:tc>
          <w:tcPr>
            <w:tcW w:type="dxa" w:w="22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受治理 Agent 平台</w:t>
            </w:r>
          </w:p>
        </w:tc>
        <w:tc>
          <w:tcPr>
            <w:tcW w:type="dxa" w:w="586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Fulfillment 接入正式 Runtime；Listing/广告/竞品封装只读 Tool；商品和库存 Agent 进入建议模式；媒体迁对象存储。</w:t>
            </w:r>
          </w:p>
        </w:tc>
      </w:tr>
      <w:tr>
        <w:trPr>
          <w:cantSplit/>
        </w:trPr>
        <w:tc>
          <w:tcPr>
            <w:tcW w:type="dxa" w:w="1300"/>
            <w:shd w:fill="FAFBFC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3-6 个月</w:t>
            </w:r>
          </w:p>
        </w:tc>
        <w:tc>
          <w:tcPr>
            <w:tcW w:type="dxa" w:w="220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多平台经营自动化</w:t>
            </w:r>
          </w:p>
        </w:tc>
        <w:tc>
          <w:tcPr>
            <w:tcW w:type="dxa" w:w="586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统一 Ads/Listing/Fulfillment Tool Contract；完成 TikTok Connector；建立店铺级权限；在评估与回滚稳定后开放有限执行。</w:t>
            </w:r>
          </w:p>
        </w:tc>
      </w:tr>
    </w:tbl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长期架构趋势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color w:val="1F2937"/>
        </w:rPr>
        <w:t>单机工具集合 → 统一数据平台。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color w:val="1F2937"/>
        </w:rPr>
        <w:t>分析型 AI 服务 → 受治理的 Agent 决策层。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color w:val="1F2937"/>
        </w:rPr>
        <w:t>SQLite 权威库 → PostgreSQL 权威事实 + 边缘 SQLite 缓存。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color w:val="1F2937"/>
        </w:rPr>
        <w:t>平台专用逻辑 → Provider-neutral Connector 与 Tool Contract。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color w:val="1F2937"/>
        </w:rPr>
        <w:t>人工脚本运维 → SLO、指标、告警和可验证灾备。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Calibri" w:hAnsi="Calibri" w:eastAsia="Microsoft YaHei"/>
          <w:color w:val="1F2937"/>
        </w:rPr>
        <w:t>自主写入幻想 → 可审计、可审批、可回滚的受控执行。</w:t>
      </w:r>
    </w:p>
    <w:p>
      <w:r>
        <w:br w:type="page"/>
      </w:r>
    </w:p>
    <w:p>
      <w:pPr>
        <w:pStyle w:val="ReportKicker"/>
        <w:jc w:val="left"/>
      </w:pPr>
      <w:r>
        <w:rPr>
          <w:rFonts w:ascii="Calibri" w:hAnsi="Calibri" w:eastAsia="Microsoft YaHei"/>
          <w:b/>
          <w:color w:val="B58A24"/>
          <w:sz w:val="18"/>
        </w:rPr>
        <w:t>FINAL ASSESSMENT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2E74B5"/>
          <w:sz w:val="32"/>
        </w:rPr>
        <w:t>11. 最终判断</w:t>
      </w:r>
    </w:p>
    <w:p>
      <w:pPr>
        <w:spacing w:after="20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2"/>
        </w:rPr>
        <w:t>Commerce Ops 已完成从零散运营脚本到数据驱动运营平台的关键跨越。它最有价值的资产不是页面数量，而是已经形成的权威数据基础、Provider Repository、平台 Connector、Foundation Task、Context/Tool/Agent Runtime、全链路审计，以及写操作与人工确认保护。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5803D"/>
          <w:left w:val="single" w:sz="8" w:space="0" w:color="15803D"/>
          <w:bottom w:val="single" w:sz="8" w:space="0" w:color="15803D"/>
          <w:right w:val="single" w:sz="8" w:space="0" w:color="15803D"/>
          <w:insideH w:val="single" w:sz="8" w:space="0" w:color="15803D"/>
          <w:insideV w:val="single" w:sz="8" w:space="0" w:color="15803D"/>
        </w:tblBorders>
      </w:tblPr>
      <w:tblGrid>
        <w:gridCol w:w="9360"/>
      </w:tblGrid>
      <w:tr>
        <w:tc>
          <w:tcPr>
            <w:tcW w:type="dxa" w:w="9360"/>
            <w:tcMar>
              <w:top w:w="140" w:type="dxa"/>
              <w:start w:w="180" w:type="dxa"/>
              <w:bottom w:w="140" w:type="dxa"/>
              <w:end w:w="180" w:type="dxa"/>
            </w:tcMar>
            <w:shd w:fill="DCFCE7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5803D"/>
                <w:sz w:val="20"/>
              </w:rPr>
              <w:t>推荐方向</w:t>
            </w:r>
          </w:p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color w:val="1F2937"/>
                <w:sz w:val="20"/>
              </w:rPr>
              <w:t>当前不宜继续横向堆新模块。先解决安全、迁移治理、发布基线、运行稳定性和灾备异地化；随后再让 Agent 从“会分析”逐步走向“可受控执行”。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2E74B5"/>
          <w:sz w:val="26"/>
        </w:rPr>
        <w:t>验证附录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750"/>
        <w:gridCol w:w="4800"/>
        <w:gridCol w:w="2810"/>
      </w:tblGrid>
      <w:tr>
        <w:trPr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pStyle w:val="TableHeader"/>
              <w:jc w:val="left"/>
            </w:pPr>
            <w:r/>
            <w:r>
              <w:rPr>
                <w:rFonts w:ascii="Calibri" w:hAnsi="Calibri" w:eastAsia="Microsoft YaHei"/>
                <w:b/>
                <w:color w:val="16324F"/>
                <w:sz w:val="16"/>
              </w:rPr>
              <w:t>检查项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pStyle w:val="TableHeader"/>
              <w:jc w:val="left"/>
            </w:pPr>
            <w:r/>
            <w:r>
              <w:rPr>
                <w:rFonts w:ascii="Calibri" w:hAnsi="Calibri" w:eastAsia="Microsoft YaHei"/>
                <w:b/>
                <w:color w:val="16324F"/>
                <w:sz w:val="16"/>
              </w:rPr>
              <w:t>证据入口</w:t>
            </w:r>
          </w:p>
        </w:tc>
        <w:tc>
          <w:tcPr>
            <w:tcW w:type="dxa" w:w="28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pStyle w:val="TableHeader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175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主应用</w:t>
            </w:r>
          </w:p>
        </w:tc>
        <w:tc>
          <w:tcPr>
            <w:tcW w:type="dxa" w:w="48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http://127.0.0.1:3101/api/health</w:t>
            </w:r>
          </w:p>
        </w:tc>
        <w:tc>
          <w:tcPr>
            <w:tcW w:type="dxa" w:w="2810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200 / 在线</w:t>
            </w:r>
          </w:p>
        </w:tc>
      </w:tr>
      <w:tr>
        <w:trPr>
          <w:cantSplit/>
        </w:trPr>
        <w:tc>
          <w:tcPr>
            <w:tcW w:type="dxa" w:w="175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广告侧车</w:t>
            </w:r>
          </w:p>
        </w:tc>
        <w:tc>
          <w:tcPr>
            <w:tcW w:type="dxa" w:w="480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http://127.0.0.1:4173/api/health</w:t>
            </w:r>
          </w:p>
        </w:tc>
        <w:tc>
          <w:tcPr>
            <w:tcW w:type="dxa" w:w="2810"/>
            <w:shd w:fill="FAFBFC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200 / 在线</w:t>
            </w:r>
          </w:p>
        </w:tc>
      </w:tr>
      <w:tr>
        <w:trPr>
          <w:cantSplit/>
        </w:trPr>
        <w:tc>
          <w:tcPr>
            <w:tcW w:type="dxa" w:w="175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履约服务</w:t>
            </w:r>
          </w:p>
        </w:tc>
        <w:tc>
          <w:tcPr>
            <w:tcW w:type="dxa" w:w="48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http://127.0.0.1:3101/api/fulfillment-dashboard/health</w:t>
            </w:r>
          </w:p>
        </w:tc>
        <w:tc>
          <w:tcPr>
            <w:tcW w:type="dxa" w:w="2810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503 / 未启用</w:t>
            </w:r>
          </w:p>
        </w:tc>
      </w:tr>
      <w:tr>
        <w:trPr>
          <w:cantSplit/>
        </w:trPr>
        <w:tc>
          <w:tcPr>
            <w:tcW w:type="dxa" w:w="175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Listing 侧车</w:t>
            </w:r>
          </w:p>
        </w:tc>
        <w:tc>
          <w:tcPr>
            <w:tcW w:type="dxa" w:w="480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127.0.0.1:8878</w:t>
            </w:r>
          </w:p>
        </w:tc>
        <w:tc>
          <w:tcPr>
            <w:tcW w:type="dxa" w:w="2810"/>
            <w:shd w:fill="FAFBFC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无监听</w:t>
            </w:r>
          </w:p>
        </w:tc>
      </w:tr>
      <w:tr>
        <w:trPr>
          <w:cantSplit/>
        </w:trPr>
        <w:tc>
          <w:tcPr>
            <w:tcW w:type="dxa" w:w="175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Node 测试</w:t>
            </w:r>
          </w:p>
        </w:tc>
        <w:tc>
          <w:tcPr>
            <w:tcW w:type="dxa" w:w="48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npm test</w:t>
            </w:r>
          </w:p>
        </w:tc>
        <w:tc>
          <w:tcPr>
            <w:tcW w:type="dxa" w:w="2810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审计基线：1,191 通过 / 2 失败；本次未重跑</w:t>
            </w:r>
          </w:p>
        </w:tc>
      </w:tr>
      <w:tr>
        <w:trPr>
          <w:cantSplit/>
        </w:trPr>
        <w:tc>
          <w:tcPr>
            <w:tcW w:type="dxa" w:w="175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Memory Audit</w:t>
            </w:r>
          </w:p>
        </w:tc>
        <w:tc>
          <w:tcPr>
            <w:tcW w:type="dxa" w:w="480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npm run memory:check</w:t>
            </w:r>
          </w:p>
        </w:tc>
        <w:tc>
          <w:tcPr>
            <w:tcW w:type="dxa" w:w="2810"/>
            <w:shd w:fill="FAFBFC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SOP 检查通过；文档交付后复检</w:t>
            </w:r>
          </w:p>
        </w:tc>
      </w:tr>
      <w:tr>
        <w:trPr>
          <w:cantSplit/>
        </w:trPr>
        <w:tc>
          <w:tcPr>
            <w:tcW w:type="dxa" w:w="175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Git 工作区</w:t>
            </w:r>
          </w:p>
        </w:tc>
        <w:tc>
          <w:tcPr>
            <w:tcW w:type="dxa" w:w="4800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git status --porcelain</w:t>
            </w:r>
          </w:p>
        </w:tc>
        <w:tc>
          <w:tcPr>
            <w:tcW w:type="dxa" w:w="2810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488 entries / 审计前后未变</w:t>
            </w:r>
          </w:p>
        </w:tc>
      </w:tr>
      <w:tr>
        <w:trPr>
          <w:cantSplit/>
        </w:trPr>
        <w:tc>
          <w:tcPr>
            <w:tcW w:type="dxa" w:w="175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备份</w:t>
            </w:r>
          </w:p>
        </w:tc>
        <w:tc>
          <w:tcPr>
            <w:tcW w:type="dxa" w:w="4800"/>
            <w:shd w:fill="FAFBFC"/>
            <w:vAlign w:val="center"/>
          </w:tcPr>
          <w:p>
            <w:pPr>
              <w:pStyle w:val="TableText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pg_verifybackup</w:t>
            </w:r>
          </w:p>
        </w:tc>
        <w:tc>
          <w:tcPr>
            <w:tcW w:type="dxa" w:w="2810"/>
            <w:shd w:fill="FAFBFC"/>
            <w:vAlign w:val="center"/>
          </w:tcPr>
          <w:p>
            <w:pPr>
              <w:pStyle w:val="TableText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F2937"/>
                <w:sz w:val="17"/>
              </w:rPr>
              <w:t>正式 Base Backup 验证通过</w:t>
            </w:r>
          </w:p>
        </w:tc>
      </w:tr>
    </w:tbl>
    <w:p>
      <w:pPr>
        <w:spacing w:after="0" w:line="264" w:lineRule="auto"/>
      </w:pPr>
      <w:r>
        <w:rPr>
          <w:rFonts w:ascii="Calibri" w:hAnsi="Calibri" w:eastAsia="Microsoft YaHei"/>
          <w:b w:val="0"/>
          <w:i/>
          <w:color w:val="667085"/>
          <w:sz w:val="18"/>
        </w:rPr>
        <w:t>说明：本报告为只读架构盘点，不包含代码修改、功能新增、数据库迁移或重构。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after="0"/>
    </w:pPr>
    <w:r>
      <w:rPr>
        <w:rFonts w:ascii="Calibri" w:hAnsi="Calibri" w:eastAsia="Microsoft YaHei"/>
        <w:color w:val="667085"/>
        <w:sz w:val="17"/>
      </w:rPr>
      <w:t>Internal architecture review</w:t>
    </w:r>
    <w:r>
      <w:rPr>
        <w:rFonts w:ascii="Calibri" w:hAnsi="Calibri" w:eastAsia="Microsoft YaHei"/>
        <w:color w:val="667085"/>
        <w:sz w:val="17"/>
      </w:rPr>
      <w:tab/>
      <w:t xml:space="preserve">Page </w:t>
    </w:r>
    <w:r>
      <w:rPr>
        <w:rFonts w:ascii="Calibri" w:hAnsi="Calibri" w:eastAsia="Microsoft YaHei"/>
        <w:color w:val="667085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7085"/>
        <w:sz w:val="17"/>
      </w:rPr>
      <w:t>Prepared from current code, runtime and database evidence • 2026-08-10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 w:eastAsia="Microsoft YaHei"/>
        <w:b/>
        <w:color w:val="667085"/>
        <w:sz w:val="16"/>
      </w:rPr>
      <w:t>COMMERCE OPS ARCHITECTURE</w:t>
    </w:r>
    <w:r>
      <w:rPr>
        <w:rFonts w:ascii="Calibri" w:hAnsi="Calibri" w:eastAsia="Microsoft YaHei"/>
        <w:color w:val="667085"/>
        <w:sz w:val="16"/>
      </w:rPr>
      <w:tab/>
      <w:t>CURRENT STATE REVIEW • 2026-08-10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Kicker">
    <w:name w:val="Report Kicker"/>
    <w:pPr>
      <w:spacing w:after="120"/>
    </w:pPr>
    <w:rPr>
      <w:rFonts w:ascii="Calibri" w:hAnsi="Calibri" w:eastAsia="Microsoft YaHei"/>
      <w:b/>
      <w:color w:val="B58A24"/>
      <w:sz w:val="18"/>
    </w:rPr>
  </w:style>
  <w:style w:type="paragraph" w:customStyle="1" w:styleId="TableText">
    <w:name w:val="Table Text"/>
    <w:pPr>
      <w:spacing w:before="0" w:after="0" w:line="259" w:lineRule="auto"/>
    </w:pPr>
    <w:rPr>
      <w:rFonts w:ascii="Calibri" w:hAnsi="Calibri" w:eastAsia="Microsoft YaHei"/>
      <w:color w:val="1F2937"/>
      <w:sz w:val="17"/>
    </w:rPr>
  </w:style>
  <w:style w:type="paragraph" w:customStyle="1" w:styleId="TableHeader">
    <w:name w:val="Table Header"/>
    <w:pPr>
      <w:spacing w:before="0" w:after="0" w:line="252" w:lineRule="auto"/>
    </w:pPr>
    <w:rPr>
      <w:rFonts w:ascii="Calibri" w:hAnsi="Calibri" w:eastAsia="Microsoft YaHei"/>
      <w:b/>
      <w:color w:val="16324F"/>
      <w:sz w:val="16"/>
    </w:rPr>
  </w:style>
  <w:style w:type="paragraph" w:customStyle="1" w:styleId="CodeInline">
    <w:name w:val="Code Inline"/>
    <w:pPr>
      <w:spacing w:before="40" w:after="40"/>
    </w:pPr>
    <w:rPr>
      <w:rFonts w:ascii="Consolas" w:hAnsi="Consolas" w:eastAsia="Microsoft YaHei"/>
      <w:color w:val="667085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Commerce Ops Current Architecture Report</dc:title>
  <dc:subject>Current-state architecture, modules, data, AI Agent foundation, risks and roadmap</dc:subject>
  <dc:creator>Commerce Ops</dc:creator>
  <cp:keywords>Commerce Ops, Architecture, PostgreSQL, AI Agent, Lazada, Shopee, Mabang</cp:keywords>
  <dc:description>Generated from a read-only architecture audit on 2026-08-10.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