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看板小程序</w:t>
      </w:r>
      <w:r>
        <w:rPr>
          <w:rFonts w:hint="eastAsia" w:ascii="黑体" w:eastAsia="黑体"/>
          <w:b/>
          <w:sz w:val="44"/>
          <w:szCs w:val="44"/>
        </w:rPr>
        <w:t>设计</w:t>
      </w:r>
    </w:p>
    <w:p>
      <w:pPr>
        <w:jc w:val="center"/>
        <w:rPr>
          <w:rFonts w:hint="eastAsia" w:ascii="黑体" w:eastAsia="黑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&lt;1.0&gt;</w:t>
      </w:r>
    </w:p>
    <w:p>
      <w:p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1 引言</w:t>
      </w:r>
    </w:p>
    <w:p>
      <w:p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2 总体设计</w:t>
      </w:r>
    </w:p>
    <w:p/>
    <w:p/>
    <w:p/>
    <w:p>
      <w:r>
        <w:drawing>
          <wp:inline distT="0" distB="0" distL="114300" distR="114300">
            <wp:extent cx="5267960" cy="347281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r>
        <w:drawing>
          <wp:inline distT="0" distB="0" distL="114300" distR="114300">
            <wp:extent cx="5268595" cy="145605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3 接口设计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 外部接口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系统与微信小程序接口采用https协议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3.2 内部接口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4 数据库表设计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4.1 （新建）看板数据表tb_report_basic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4.1.1 </w:t>
      </w:r>
      <w:r>
        <w:rPr>
          <w:rFonts w:hint="eastAsia"/>
        </w:rPr>
        <w:t>表属性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20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看板基础数据表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cs="宋体"/>
                <w:b/>
                <w:bCs/>
                <w:snapToGrid w:val="0"/>
              </w:rPr>
            </w:pPr>
            <w:r>
              <w:rPr>
                <w:rFonts w:hint="eastAsia" w:cs="宋体"/>
                <w:b/>
                <w:bCs/>
                <w:snapToGrid w:val="0"/>
              </w:rPr>
              <w:t>英文名称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tb_report_basic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表说明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eastAsia="宋体" w:cs="宋体"/>
                <w:snapToGrid w:val="0"/>
                <w:sz w:val="18"/>
                <w:szCs w:val="18"/>
                <w:lang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看板基础数据表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每记录长度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数据增加速度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数据量估计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数据保留时间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数据清理备份方式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操作方式、操作时间和操作频度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4.1.2 </w:t>
      </w:r>
      <w:r>
        <w:rPr>
          <w:rFonts w:hint="eastAsia"/>
        </w:rPr>
        <w:t>字段描述</w:t>
      </w:r>
    </w:p>
    <w:tbl>
      <w:tblPr>
        <w:tblStyle w:val="6"/>
        <w:tblW w:w="94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70"/>
        <w:gridCol w:w="2340"/>
        <w:gridCol w:w="1440"/>
        <w:gridCol w:w="540"/>
        <w:gridCol w:w="23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b/>
                <w:bCs/>
                <w:snapToGrid w:val="0"/>
                <w:sz w:val="18"/>
                <w:szCs w:val="18"/>
              </w:rPr>
              <w:t>Name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数据类型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主键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Y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记录日期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rpt_date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更新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法院id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court_id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法院名称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court_name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所属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地市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city_name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地市代码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city_code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任务量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业务收入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revenue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DECIMAL(10,2)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月累计业务量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count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月累计业务量环比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mom_count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月累计业务量同比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yoy_</w:t>
            </w: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revenue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月累计业务收入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revenue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DECIMAL(10,2)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月累计业务收入环比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mom_</w:t>
            </w: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revenue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月累计业务收入同比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yoy_</w:t>
            </w: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  <w:t>revenue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电子送达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elec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电子送达累计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电子送达环比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电子送达同比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邮寄送达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post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邮寄送达累计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post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邮寄送达环比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post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邮寄送达同比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post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直接送达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direct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直接送达累计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direct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直接送达环比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direct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直接送达同比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direct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跨域送达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cross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跨域送达使用率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cross_use_rete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使用跨域送达法院客户数/法院客户总数*100%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跨域送达转化率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cross_rate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跨区域法院专递业务量/法院法律文书送达总业务量*100%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智能揽收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pickup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智能揽收使用率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pickup_use_rate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使用智能揽收法院客户数/法院客户总数*100%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智能揽收转化率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pickup_rate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highlight w:val="none"/>
                <w:lang w:val="en-US" w:eastAsia="zh-CN"/>
              </w:rPr>
              <w:t>DECIMAL(5,2)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智能揽收业务量/法院法律文书送达总业务量*100%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及时收寄量</w:t>
            </w:r>
          </w:p>
        </w:tc>
        <w:tc>
          <w:tcPr>
            <w:tcW w:w="23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timely</w:t>
            </w:r>
          </w:p>
        </w:tc>
        <w:tc>
          <w:tcPr>
            <w:tcW w:w="1440" w:type="dxa"/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shd w:val="clear" w:color="auto" w:fill="FFFFFF"/>
            <w:noWrap w:val="0"/>
            <w:vAlign w:val="top"/>
          </w:tcPr>
          <w:p>
            <w:pP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  <w:tc>
          <w:tcPr>
            <w:tcW w:w="2390" w:type="dxa"/>
            <w:shd w:val="clear" w:color="auto" w:fill="FFFFFF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17:00前的订单，当天24:00完成收寄视为及时</w:t>
            </w:r>
            <w:bookmarkStart w:id="0" w:name="_GoBack"/>
            <w:bookmarkEnd w:id="0"/>
          </w:p>
        </w:tc>
      </w:tr>
    </w:tbl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4.1.3 </w:t>
      </w:r>
      <w:r>
        <w:rPr>
          <w:rFonts w:hint="eastAsia"/>
        </w:rPr>
        <w:t>索引描述</w:t>
      </w:r>
    </w:p>
    <w:tbl>
      <w:tblPr>
        <w:tblStyle w:val="6"/>
        <w:tblW w:w="85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50"/>
        <w:gridCol w:w="2340"/>
        <w:gridCol w:w="1260"/>
        <w:gridCol w:w="37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r>
              <w:rPr>
                <w:rFonts w:hint="eastAsia"/>
              </w:rPr>
              <w:t>索引名称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是否唯一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idx1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city_code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court_id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rpt_date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2"/>
        <w:numPr>
          <w:ilvl w:val="0"/>
          <w:numId w:val="0"/>
        </w:numPr>
        <w:tabs>
          <w:tab w:val="left" w:pos="540"/>
          <w:tab w:val="clear" w:pos="432"/>
        </w:tabs>
        <w:spacing w:before="340" w:after="330" w:line="576" w:lineRule="auto"/>
        <w:ind w:left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4.2（新建）看板数据表tb_report_user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4.2.1</w:t>
      </w:r>
      <w:r>
        <w:rPr>
          <w:rFonts w:hint="eastAsia"/>
        </w:rPr>
        <w:t>表属性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20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看板小程序用户表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cs="宋体"/>
                <w:b/>
                <w:bCs/>
                <w:snapToGrid w:val="0"/>
              </w:rPr>
            </w:pPr>
            <w:r>
              <w:rPr>
                <w:rFonts w:hint="eastAsia" w:cs="宋体"/>
                <w:b/>
                <w:bCs/>
                <w:snapToGrid w:val="0"/>
              </w:rPr>
              <w:t>英文名称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tb_report_user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表说明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看板小程序用户表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每记录长度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数据增加速度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数据量估计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数据保留时间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数据清理备份方式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操作方式、操作时间和操作频度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4.2.2 </w:t>
      </w:r>
      <w:r>
        <w:rPr>
          <w:rFonts w:hint="eastAsia"/>
        </w:rPr>
        <w:t>字段描述</w:t>
      </w:r>
    </w:p>
    <w:tbl>
      <w:tblPr>
        <w:tblStyle w:val="6"/>
        <w:tblW w:w="94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70"/>
        <w:gridCol w:w="2340"/>
        <w:gridCol w:w="1440"/>
        <w:gridCol w:w="540"/>
        <w:gridCol w:w="23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b/>
                <w:bCs/>
                <w:snapToGrid w:val="0"/>
                <w:sz w:val="18"/>
                <w:szCs w:val="18"/>
              </w:rPr>
              <w:t>Name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数据类型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主键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Y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eastAsia="zh-CN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VARCHAR(128)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城市代码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city_code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用户类型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user_type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INT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1:省公司 2:地市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手机号码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phone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CHAR(11)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</w:tbl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4.2.3</w:t>
      </w:r>
      <w:r>
        <w:rPr>
          <w:rFonts w:hint="eastAsia"/>
        </w:rPr>
        <w:t>索引描述</w:t>
      </w:r>
    </w:p>
    <w:tbl>
      <w:tblPr>
        <w:tblStyle w:val="6"/>
        <w:tblW w:w="85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50"/>
        <w:gridCol w:w="2340"/>
        <w:gridCol w:w="1260"/>
        <w:gridCol w:w="37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r>
              <w:rPr>
                <w:rFonts w:hint="eastAsia"/>
              </w:rPr>
              <w:t>索引名称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是否唯一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idx1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openid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  <w:numPr>
          <w:ilvl w:val="0"/>
          <w:numId w:val="0"/>
        </w:numPr>
        <w:tabs>
          <w:tab w:val="left" w:pos="540"/>
          <w:tab w:val="clear" w:pos="432"/>
        </w:tabs>
        <w:spacing w:before="340" w:after="330" w:line="576" w:lineRule="auto"/>
        <w:ind w:left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4.3（新建）看板数据表tb_report_user_log</w:t>
      </w: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>4.3.1</w:t>
      </w:r>
      <w:r>
        <w:rPr>
          <w:rFonts w:hint="eastAsia"/>
        </w:rPr>
        <w:t>表属性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20" w:type="dxa"/>
            <w:shd w:val="clear" w:color="auto" w:fill="C0C0C0"/>
            <w:noWrap w:val="0"/>
            <w:vAlign w:val="top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60"/>
                <w:tab w:val="clear" w:pos="840"/>
              </w:tabs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看板小程序登录表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 w:cs="宋体"/>
                <w:b/>
                <w:bCs/>
                <w:snapToGrid w:val="0"/>
              </w:rPr>
            </w:pPr>
            <w:r>
              <w:rPr>
                <w:rFonts w:hint="eastAsia" w:cs="宋体"/>
                <w:b/>
                <w:bCs/>
                <w:snapToGrid w:val="0"/>
              </w:rPr>
              <w:t>英文名称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tb_report_user_log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表说明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/>
                <w:snapToGrid w:val="0"/>
                <w:sz w:val="18"/>
                <w:szCs w:val="18"/>
                <w:lang w:val="en-US" w:eastAsia="zh-CN"/>
              </w:rPr>
              <w:t>看板小程序登录记录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每记录长度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数据增加速度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数据量估计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数据保留时间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数据清理备份方式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永久保存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操作方式、操作时间和操作频度</w:t>
            </w:r>
          </w:p>
        </w:tc>
        <w:tc>
          <w:tcPr>
            <w:tcW w:w="612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eastAsia"/>
        </w:rPr>
      </w:pPr>
    </w:p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4.3.2 </w:t>
      </w:r>
      <w:r>
        <w:rPr>
          <w:rFonts w:hint="eastAsia"/>
        </w:rPr>
        <w:t>字段描述</w:t>
      </w:r>
    </w:p>
    <w:tbl>
      <w:tblPr>
        <w:tblStyle w:val="6"/>
        <w:tblW w:w="94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70"/>
        <w:gridCol w:w="2340"/>
        <w:gridCol w:w="1440"/>
        <w:gridCol w:w="540"/>
        <w:gridCol w:w="23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b/>
                <w:bCs/>
                <w:snapToGrid w:val="0"/>
                <w:sz w:val="18"/>
                <w:szCs w:val="18"/>
              </w:rPr>
              <w:t>Name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数据类型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主键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64B1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b/>
                <w:bCs/>
                <w:snapToGrid w:val="0"/>
                <w:sz w:val="18"/>
                <w:szCs w:val="18"/>
              </w:rPr>
            </w:pPr>
            <w:r>
              <w:rPr>
                <w:rFonts w:hint="eastAsia" w:cs="宋体"/>
                <w:b/>
                <w:bCs/>
                <w:snapToGrid w:val="0"/>
                <w:sz w:val="18"/>
                <w:szCs w:val="18"/>
              </w:rPr>
              <w:t>字段说明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Y</w:t>
            </w: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eastAsia="zh-CN"/>
              </w:rPr>
              <w:t>VARCHAR2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城市代码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city_code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城市行政区域代码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手机号码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phone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CHAR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  <w:lang w:val="en-US" w:eastAsia="zh-CN"/>
              </w:rPr>
              <w:t>11</w:t>
            </w:r>
            <w:r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  <w:t>)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  <w:highlight w:val="none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登录时间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14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5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eastAsia" w:ascii="宋体" w:hAnsi="宋体" w:cs="宋体"/>
                <w:snapToGrid w:val="0"/>
                <w:sz w:val="18"/>
                <w:szCs w:val="18"/>
              </w:rPr>
            </w:pPr>
          </w:p>
        </w:tc>
      </w:tr>
    </w:tbl>
    <w:p>
      <w:pPr>
        <w:pStyle w:val="5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4.3.3 </w:t>
      </w:r>
      <w:r>
        <w:rPr>
          <w:rFonts w:hint="eastAsia"/>
        </w:rPr>
        <w:t>索引描述</w:t>
      </w:r>
    </w:p>
    <w:tbl>
      <w:tblPr>
        <w:tblStyle w:val="6"/>
        <w:tblW w:w="853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50"/>
        <w:gridCol w:w="2340"/>
        <w:gridCol w:w="1260"/>
        <w:gridCol w:w="37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blHeader/>
        </w:trPr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r>
              <w:rPr>
                <w:rFonts w:hint="eastAsia"/>
              </w:rPr>
              <w:t>索引名称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是否唯一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cs="宋体"/>
                <w:snapToGrid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idx1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1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autoSpaceDE w:val="0"/>
              <w:autoSpaceDN w:val="0"/>
              <w:jc w:val="left"/>
              <w:rPr>
                <w:rFonts w:hint="default" w:ascii="宋体" w:hAnsi="宋体" w:eastAsia="宋体" w:cs="宋体"/>
                <w:snapToGrid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sz w:val="18"/>
                <w:szCs w:val="18"/>
                <w:lang w:val="en-US" w:eastAsia="zh-CN"/>
              </w:rPr>
              <w:t>city_code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5 功能模块设计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5.1 邮政端报表统计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邮政端定时任务，每隔10分钟查询邮政端数据库更新tb_report_basic。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5.2 登录验证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验证流程</w:t>
      </w:r>
    </w:p>
    <w:p>
      <w:r>
        <w:drawing>
          <wp:inline distT="0" distB="0" distL="114300" distR="114300">
            <wp:extent cx="2019300" cy="280289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67840" cy="2918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5.3 业务量收报表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用户类型为省公司的显示全省汇总数据和地市排名数据。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用户类型为地市的显示当前地市的汇总数据及法院排名数据。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5.4 运行质量报表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用户类型为省公司的显示全省汇总数据和地市排名数据。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用户类型为地市的显示当前地市的汇总数据及法院排名数据。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bullet"/>
      <w:pStyle w:val="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2E1F"/>
    <w:rsid w:val="08055D4F"/>
    <w:rsid w:val="088115E2"/>
    <w:rsid w:val="0A783020"/>
    <w:rsid w:val="12185A63"/>
    <w:rsid w:val="14E34CC0"/>
    <w:rsid w:val="14EE23BA"/>
    <w:rsid w:val="214F4AB8"/>
    <w:rsid w:val="36387FD4"/>
    <w:rsid w:val="3BCB7E80"/>
    <w:rsid w:val="3C1E2A8E"/>
    <w:rsid w:val="3F5933C9"/>
    <w:rsid w:val="405D7292"/>
    <w:rsid w:val="4CB21D89"/>
    <w:rsid w:val="55EE486D"/>
    <w:rsid w:val="5CBD4191"/>
    <w:rsid w:val="5F960254"/>
    <w:rsid w:val="65BA521A"/>
    <w:rsid w:val="72B17829"/>
    <w:rsid w:val="7B8D714B"/>
    <w:rsid w:val="7CC57000"/>
    <w:rsid w:val="7EE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60" w:beforeLines="0" w:after="360" w:afterLines="0" w:line="360" w:lineRule="auto"/>
      <w:outlineLvl w:val="0"/>
    </w:pPr>
    <w:rPr>
      <w:rFonts w:ascii="Arial" w:hAnsi="Arial" w:eastAsia="黑体" w:cs="Times New Roman"/>
      <w:b/>
      <w:spacing w:val="10"/>
      <w:kern w:val="36"/>
      <w:sz w:val="36"/>
      <w:szCs w:val="20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outlineLvl w:val="1"/>
    </w:pPr>
    <w:rPr>
      <w:rFonts w:ascii="黑体" w:hAnsi="宋体" w:eastAsia="黑体" w:cs="Times New Roman"/>
      <w:b/>
      <w:snapToGrid w:val="0"/>
      <w:color w:val="0000FF"/>
      <w:sz w:val="28"/>
      <w:szCs w:val="28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outlineLvl w:val="2"/>
    </w:pPr>
    <w:rPr>
      <w:rFonts w:ascii="黑体" w:hAnsi="Arial" w:eastAsia="黑体" w:cs="Times New Roman"/>
      <w:sz w:val="24"/>
      <w:szCs w:val="14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before="60" w:beforeLines="0" w:after="60" w:afterLines="0" w:line="400" w:lineRule="exact"/>
      <w:ind w:firstLine="420"/>
    </w:pPr>
    <w:rPr>
      <w:rFonts w:eastAsia="宋体"/>
      <w:spacing w:val="10"/>
      <w:sz w:val="24"/>
    </w:rPr>
  </w:style>
  <w:style w:type="paragraph" w:customStyle="1" w:styleId="8">
    <w:name w:val="项目符号1"/>
    <w:basedOn w:val="1"/>
    <w:uiPriority w:val="0"/>
    <w:pPr>
      <w:numPr>
        <w:ilvl w:val="0"/>
        <w:numId w:val="2"/>
      </w:numPr>
      <w:tabs>
        <w:tab w:val="left" w:pos="840"/>
        <w:tab w:val="clear" w:pos="360"/>
      </w:tabs>
      <w:autoSpaceDE w:val="0"/>
      <w:autoSpaceDN w:val="0"/>
      <w:adjustRightInd w:val="0"/>
    </w:pPr>
    <w:rPr>
      <w:rFonts w:ascii="宋体" w:eastAsia="宋体" w:cs="宋体"/>
      <w:bCs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2021-09-18T01:23:00Z</dcterms:created>
  <dc:creator>chenzy</dc:creator>
  <cp:lastModifiedBy>陈泽毅</cp:lastModifiedBy>
  <dcterms:modified xsi:type="dcterms:W3CDTF">2021-09-22T04:45:24Z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BD42879203AA4F8895C3ABD0B14CC60A</vt:lpwstr>
  </property>
</Properties>
</file>