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098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审稿人一</w:t>
      </w:r>
    </w:p>
    <w:p w14:paraId="30AC111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作为 JMST（Journal of Mechanical Science and Technology）的审稿人，我以严厉但公正的标准审阅了这份手稿（gear_fatigue_v5.2.tex）。这是一项极具雄心的研究，但存在若干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数据不一致、自我矛盾、方法论虚假声称和过度解读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的问题。</w:t>
      </w:r>
    </w:p>
    <w:p w14:paraId="12CE718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以下是我的详细评审意见：</w:t>
      </w:r>
    </w:p>
    <w:p w14:paraId="18131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2EF5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核心数据与声明冲突（重大缺陷）</w:t>
      </w:r>
    </w:p>
    <w:p w14:paraId="0DFF76E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标准方差份额 (55.3%) 的虚假定位</w:t>
      </w:r>
    </w:p>
    <w:p w14:paraId="5F6F0B5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：摘要和结论中多次强调“55.3%”是“size-and-surface standard”的贡献，但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tab:anova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脚注和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sec:stress_concentration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明确指出，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这一份额仅代表表面粗糙度校正分量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，是在统一的 ISO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Sa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基线下的结果。</w:t>
      </w:r>
    </w:p>
    <w:p w14:paraId="5C2C6F2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矛盾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CDC4D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301C8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摘要称其为“size-and-surface standard (55.3%)”，给人印象是三大标准之间的完整差异。</w:t>
      </w:r>
    </w:p>
    <w:p w14:paraId="62CE7D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A767E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D8231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然而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sec:stress_concentration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坦诚地承认，这是对全标准分歧的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，因为 AGMA 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J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J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因子和 FKM 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被有意排除。</w:t>
      </w:r>
    </w:p>
    <w:p w14:paraId="3FE093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3EA1C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51CA3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后续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native_stress_sensitivity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声称该份额可变为 64.4%（+12.3 pp）或甚至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−27.7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−27.7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+17.8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+17.8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pp。</w:t>
      </w:r>
    </w:p>
    <w:p w14:paraId="1AD78A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3230E9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55.3% 不具备稳定的物理意义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。作者一方面声称该数是“领先因子”，另一方面承认它仅代表部分效应并且对基线选择高度敏感。这是误导性表述。</w:t>
      </w:r>
    </w:p>
    <w:p w14:paraId="6B551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4192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因子水平的依赖性未被有效传达</w:t>
      </w:r>
    </w:p>
    <w:p w14:paraId="62D7D39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sec:constraints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指出“所有方差分数取决于因子水平的选择”，但这个关键警告在摘要和结论中被淡化。</w:t>
      </w:r>
    </w:p>
    <w:p w14:paraId="31B1983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案例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72D37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73B57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S-N 曲线源贡献仅 2.5%，但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multi_sn_sensitivity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表明，若将 S-N 曲线扩展至 5 个水平，该份额可升至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34.7%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，与标准相同。</w:t>
      </w:r>
    </w:p>
    <w:p w14:paraId="352109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0737F0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33F69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结论却仍称 S-N 曲线源为“次要” (secondary)，而未充分强调这一结果对因子选择的敏感性。</w:t>
      </w:r>
    </w:p>
    <w:p w14:paraId="300488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000F43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：要么将这一警告移入摘要，要么修订结论以强调“此结果为特定设计下的条件性结论”。</w:t>
      </w:r>
    </w:p>
    <w:p w14:paraId="62029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D3D4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方法论不一致与虚假声称</w:t>
      </w:r>
    </w:p>
    <w:p w14:paraId="7366A84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AFT 与 Sobol’ 的比较被夸大</w:t>
      </w:r>
    </w:p>
    <w:p w14:paraId="0C1CF9B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sec:aft_vs_anova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声称 AFT 是“唯一可在存在删失数据时进行方差分解的方法”，但这一说法过度简化。</w:t>
      </w:r>
    </w:p>
    <w:p w14:paraId="514ED50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事实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E1AD5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6B7BDE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Sobol’ 指数确实不能直接处理删失数据，但存在多种变体（如针对删失数据的 Sobol’-GSA 扩展），作者未讨论。</w:t>
      </w:r>
    </w:p>
    <w:p w14:paraId="2795DD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448EB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3D3EF3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蒙特卡洛验证（500 次模拟，30% 删失）虽用于验证 AFT，但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主数据集的删失率为 58%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。作者在第 5.3 节承认，58% 删失率下“主导因子的份额被低估约 7 个百分点”，这一偏倚未在最终数字中修正。</w:t>
      </w:r>
    </w:p>
    <w:p w14:paraId="770619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490D54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：声称 AFT 是无偏的或优于 ANOVA 的说法缺乏支持，尤其是作者也承认偏差存在。</w:t>
      </w:r>
    </w:p>
    <w:p w14:paraId="316D31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91CC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删失机制“非信息性”的假设可疑</w:t>
      </w:r>
    </w:p>
    <w:p w14:paraId="576B1AE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sec:constraints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承认，“删失是否非信息性”无法正式检验。删失判定基于有效应力是否低于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106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循环的疲劳强度——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此判定与所研究的因素直接相关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（如表面粗糙度、均值应力修正）。</w:t>
      </w:r>
    </w:p>
    <w:p w14:paraId="14B0D8E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：若删失实际为信息性，AFT 的似然估计将产生偏倚。作者未提供敏感性分析（如模式混合模型）来量化此风险。</w:t>
      </w:r>
    </w:p>
    <w:p w14:paraId="7B2FF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4BB4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数值结果与物理不一致性</w:t>
      </w:r>
    </w:p>
    <w:p w14:paraId="6337E25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疲劳寿命散布范围夸张（2.79 dex）</w:t>
      </w:r>
    </w:p>
    <w:p w14:paraId="6384A6C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：声称寿命范围从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1.3×103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1.3×10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至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8.3×105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8.3×10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周（2.79 dex），但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sweep.json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未在文本中提供，无法独立核实。更重要的是：</w:t>
      </w:r>
    </w:p>
    <w:p w14:paraId="479011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5CE28C1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700 N·m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下，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84 个组合（58%）为 run-out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（&gt;10⁷ 周），因此声称“2.79 dex 跨度”具有误导性，因为该范围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不包括 run-outs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E029E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64950A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6E0F21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若纳入 run-outs，跨度为无穷大，这使该统计量在工程上缺乏可操作性。</w:t>
      </w:r>
    </w:p>
    <w:p w14:paraId="1AEDD8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21F4A5E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：应报告有限寿命与无限寿命的比例，并将寿命散布限定为有限寿命子集的条件范围。</w:t>
      </w:r>
    </w:p>
    <w:p w14:paraId="262A78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D9C9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均值应力修正的贡献不一致</w:t>
      </w:r>
    </w:p>
    <w:p w14:paraId="17841B1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78A24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67BBB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tab:anova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：均值应力修正 = 18.2%。</w:t>
      </w:r>
    </w:p>
    <w:p w14:paraId="633B22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4CDC5B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05F8A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sec:mean_stress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：称“18.2% 是上限”，并在工业齿轮箱中会“远小于”此值。</w:t>
      </w:r>
    </w:p>
    <w:p w14:paraId="4A67BA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61AD75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62CAEA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讨论中却将此数作为重要设计警告重复使用。</w:t>
      </w:r>
    </w:p>
    <w:p w14:paraId="416A47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0E14F2F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矛盾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：若 18.2% 仅适用于接近极限的高应力状态，则不应将其作为普遍结论呈现。</w:t>
      </w:r>
    </w:p>
    <w:p w14:paraId="2AF1D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A860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与现有文献的矛盾</w:t>
      </w:r>
    </w:p>
    <w:p w14:paraId="380DF34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4.1 文献比较与数据验证不足</w:t>
      </w:r>
    </w:p>
    <w:p w14:paraId="73AB6C0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sec:published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引用了 Wang 等 (2023)、Ulrich 等 (2025)、Pagliari 等 (2025) 的研究，但：</w:t>
      </w:r>
    </w:p>
    <w:p w14:paraId="291451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099186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Wang 等的实验应力为 151–293 MPa，而本研究名义应力为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778 MPa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FB413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16EEE2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310113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作者承认：“所有 144 种方法组合在该应力水平下均预测为 run-out”——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因此无法进行任何直接比较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84BCA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74611F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41085A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Ulrich 等的材料疲劳极限（~680 MPa）虽被引用，但本研究使用 610 MPa 的疲劳强度——差异达 11%，却未在校准中计入。</w:t>
      </w:r>
    </w:p>
    <w:p w14:paraId="2CEA11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5425E40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：所引文献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不能验证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本研究的预测，这一局限性未得到充分披露。</w:t>
      </w:r>
    </w:p>
    <w:p w14:paraId="44C38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3EB6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表述问题（技术性）</w:t>
      </w:r>
    </w:p>
    <w:p w14:paraId="16486A6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5.1 统一的 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YSa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基线</w:t>
      </w:r>
    </w:p>
    <w:p w14:paraId="40380E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6A5881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便利假设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，而非代表任一标准。</w:t>
      </w:r>
    </w:p>
    <w:p w14:paraId="2F2592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772016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5C26FC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AGMA 使用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J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J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因子，FKM 使用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（与材料相关），但作者将它们替换为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YSa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，然后声称“标准选择”方差为 55.3%。这是一种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循环论证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16E75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5278056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5.2 未建模的重要交互项</w:t>
      </w:r>
    </w:p>
    <w:p w14:paraId="48225A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0E04FF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仅纳入一个交互项（标准 ×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Rz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z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3317F5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02DF2A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3F682B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均值应力 × 标准或 S-N × 标准等项被排除，却未加论证。</w:t>
      </w:r>
    </w:p>
    <w:p w14:paraId="181479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1429409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5.3 蒙特卡洛验证中的样本量不匹配</w:t>
      </w:r>
    </w:p>
    <w:p w14:paraId="50EF6B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433DAF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验证使用 30% 删失，但实际数据集为 58%。</w:t>
      </w:r>
    </w:p>
    <w:p w14:paraId="4111EC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79326E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435166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作者承认 58% 下偏差为 ~7 pp，但未将验证结果的置信区间用于修正主估计值。</w:t>
      </w:r>
    </w:p>
    <w:p w14:paraId="7ABCD5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03917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2769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结论中的过度声明</w:t>
      </w:r>
    </w:p>
    <w:p w14:paraId="057290D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结论中的“55% 问题”和“标准赌博”等表述，在修辞上令人印象深刻，但：</w:t>
      </w:r>
    </w:p>
    <w:p w14:paraId="70131E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4BCD89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未经实验验证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——该研究纯为数值模拟。</w:t>
      </w:r>
    </w:p>
    <w:p w14:paraId="050D75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6513AF3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1AB438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55.3% 仅代表部分效应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，且依赖于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YSa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Y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Sa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基线与因子水平。</w:t>
      </w:r>
    </w:p>
    <w:p w14:paraId="2F33C2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49CE81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052AC2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作者自身承认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，纳入完整标准公式后，该份额可变化范围大（-27.7 至 +17.8 pp）。</w:t>
      </w:r>
    </w:p>
    <w:p w14:paraId="3158A7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7B258E5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因此，将 55.3% 描述为“超过半数的不确定性”并将结论推向标准化行动建议，在科学上是不成熟的。</w:t>
      </w:r>
    </w:p>
    <w:p w14:paraId="787B23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4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9C23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总体建议</w:t>
      </w:r>
    </w:p>
    <w:tbl>
      <w:tblPr>
        <w:tblW w:w="112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0"/>
        <w:gridCol w:w="8631"/>
      </w:tblGrid>
      <w:tr w14:paraId="5CC24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F50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方面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523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评价</w:t>
            </w:r>
          </w:p>
        </w:tc>
      </w:tr>
      <w:tr w14:paraId="5A21D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A75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新颖性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8931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高——AFT + 因子设计的组合是新的</w:t>
            </w:r>
          </w:p>
        </w:tc>
      </w:tr>
      <w:tr w14:paraId="44D19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C90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方法论严谨性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166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中等——删失假设、基线选择、偏差量化存在问题</w:t>
            </w:r>
          </w:p>
        </w:tc>
      </w:tr>
      <w:tr w14:paraId="04331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183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结果稳定性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04B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低——55.3% 对基线选择敏感</w:t>
            </w:r>
          </w:p>
        </w:tc>
      </w:tr>
      <w:tr w14:paraId="7759D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3717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文献支持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8DF4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弱——无直接实验验证，仅引用非匹配条件数据</w:t>
            </w:r>
          </w:p>
        </w:tc>
      </w:tr>
      <w:tr w14:paraId="2CB26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E07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表述透明度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1E3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需要改进——摘要与结论中的警示信息不足</w:t>
            </w:r>
          </w:p>
        </w:tc>
      </w:tr>
    </w:tbl>
    <w:p w14:paraId="46BBE7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797C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修订建议</w:t>
      </w:r>
    </w:p>
    <w:p w14:paraId="3A4FBE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0B58CB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 55.3% 重新表述为“表面-尺寸因子分量的条件性方差份额”，而非“标准选择方差”。</w:t>
      </w:r>
    </w:p>
    <w:p w14:paraId="7F111F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537106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011820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将因子水平依赖性的警告移入摘要。</w:t>
      </w:r>
    </w:p>
    <w:p w14:paraId="608523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2A7667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368FDD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提供偏差修正后的估计值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，以反映 58% 删失率下的低估情况。</w:t>
      </w:r>
    </w:p>
    <w:p w14:paraId="4E71A5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7CA938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176784A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添加信息性删失敏感性分析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（例如，模式混合模型）。</w:t>
      </w:r>
    </w:p>
    <w:p w14:paraId="5CA2D0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44EF6A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5EA997A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将结论限制为“方法论演示”，而非工程指导。</w:t>
      </w:r>
    </w:p>
    <w:p w14:paraId="77F818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3CC227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3F3029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移除或明确标记未经实验验证的“风险阈值”和“设计场景”。</w:t>
      </w:r>
    </w:p>
    <w:p w14:paraId="4DDC4B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565AB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3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3598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最终评估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：该手稿在方法上有创意，但在核心数字上缺乏稳定性，且结论过度延伸。建议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，要求进行实质性澄清、偏差量化和对声明范围的保守重述。</w:t>
      </w:r>
    </w:p>
    <w:p w14:paraId="17CEB504"/>
    <w:p w14:paraId="1A7ED2F0"/>
    <w:p w14:paraId="69ACA78D"/>
    <w:p w14:paraId="3AB48317"/>
    <w:p w14:paraId="6AB58EFF"/>
    <w:p w14:paraId="53BE434C"/>
    <w:p w14:paraId="782C06B1"/>
    <w:p w14:paraId="13D09B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审稿人二</w:t>
      </w:r>
    </w:p>
    <w:p w14:paraId="0F9EB22B">
      <w:pPr>
        <w:rPr>
          <w:rFonts w:hint="eastAsia"/>
          <w:lang w:val="en-US" w:eastAsia="zh-CN"/>
        </w:rPr>
      </w:pPr>
    </w:p>
    <w:p w14:paraId="7BE849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MST 齿轮方向审稿人评审意见：论文《Method-Induced Uncertainty in Gear Bending Fatigue》错误、矛盾、不一致、学术缺陷逐条梳理</w:t>
      </w:r>
    </w:p>
    <w:p w14:paraId="01B0A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本文为纯数值仿真研究，无实体齿轮疲劳试验验证，核心创新是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删失似然 AFT 全因子方差分解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量化 ISO/AGMA/FKM 三大标准带来的方法诱导不确定性。从齿轮强度标准、疲劳统计、试验设计、力学建模、工程外推五大维度，梳理全部硬错误、逻辑矛盾、数据不自洽、表述虚假 / 夸大问题，分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致命学术缺陷（拒稿级）、严重建模矛盾（大修核心）、数据与图表不一致、标准公式误用、统计方法缺陷、工程外推虚假表述、行文内部自相矛盾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七大类。</w:t>
      </w:r>
    </w:p>
    <w:p w14:paraId="1D8A2F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一、致命学术缺陷（直接构成拒稿核心理由）</w:t>
      </w:r>
    </w:p>
    <w:p w14:paraId="34DEE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完全缺失物理试验验证，却大量输出工程定量结论，存在虚假工程导向</w:t>
      </w:r>
    </w:p>
    <w:p w14:paraId="081265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1）全文所有方差占比、标准间寿命偏移量（\(\Delta_{AGMA \to FKM}=1.63\pm0.31\ \text{dex}\)）、粗糙度修正偏差、扭矩优先级结论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全部来自纯数值闭环仿真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，无单齿弯曲试验、脉动疲劳试验校准。作者仅在讨论末尾轻描淡写提 “待二期试验”，但摘要、结论、4.9 风险评估、4.10 设计场景直接把仿真数值当作工业设计依据，属于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无试验支撑的定量工程断言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，违背机械疲劳期刊基本学术规范。 2）虚假暗示研究具备工程落地价值：配套开源代码输出的修正系数、风险分级被包装成可用于齿轮箱规范，但作者明确承认统一\(Y_{Sa}\)基线、近似 FKM \(K_f\)、忽略残余应力三重理想化假设，定量结果不能直接用于设计，却在结论刻意弱化该边界，误导读者认为数值可直接标准化。</w:t>
      </w:r>
    </w:p>
    <w:p w14:paraId="7E9D9B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试验设计严重不对称，刻意掩盖材料变异性的权重，结论存在严重片面误导</w:t>
      </w:r>
    </w:p>
    <w:p w14:paraId="3F2F7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1）方法因子共 5 组、10 自由度；材料仅 1 组 S-N 曲线因子、2 自由度，10:1 自由度失衡天然让方法论方差占绝对主导。作者 4.4 承认该缺陷，但摘要、引言、结论完全不提该设计偏倚，开篇抛出核心论断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“齿轮疲劳寿命不确定性最大来源是标准选择，而非材料 / 制造”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，属于刻意隐瞒试验设计结构性缺陷的误导性结论。 2）补充多 S-N 曲线敏感性显示：当覆盖 42CrMo4 完整热处理区间（5 条 S-N 曲线），材料方差占比从 2.5% 飙升至 34.7%，与标准 33.6% 持平；但全文主结果仅采用两条几乎重合的 S-N 曲线（\(10^6\)循环疲劳强度仅差 0.6MPa），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刻意选择材料差异极小的输入压低材料方差占比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，核心结论存在人为偏向性。</w:t>
      </w:r>
    </w:p>
    <w:p w14:paraId="4E0936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核心定量指标 55.3% 存在明确 “下界” 标注，但全文多处省略关键限定，夸大标准分歧程度</w:t>
      </w:r>
    </w:p>
    <w:p w14:paraId="53BE921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55.3% 仅代表</w:t>
      </w:r>
      <w:r>
        <w:rPr>
          <w:rStyle w:val="8"/>
          <w:color w:val="000000"/>
          <w:sz w:val="24"/>
          <w:szCs w:val="24"/>
          <w:bdr w:val="none" w:color="auto" w:sz="0" w:space="0"/>
        </w:rPr>
        <w:t>统一 ISO \(Y_{Sa}\)基线下、尺寸 - 表面修正项单独贡献</w:t>
      </w:r>
      <w:r>
        <w:rPr>
          <w:color w:val="000000"/>
          <w:sz w:val="24"/>
          <w:szCs w:val="24"/>
          <w:bdr w:val="none" w:color="auto" w:sz="0" w:space="0"/>
        </w:rPr>
        <w:t>，是三大标准完整计算链分歧的严格下界；原生应力链校核显示完整标准分歧可达 64.4%（+12.3pp）。</w:t>
      </w:r>
    </w:p>
    <w:p w14:paraId="4AD1777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矛盾点：摘要、结论、引言多次直接写 “尺寸表面标准贡献 55.3% 总预测方差”，完全删除 “统一\(Y_{Sa}\)下界、仅表面修正分量” 核心限定，读者极易误解该数值是三大标准完整计算流程的总分歧，属于关键条件刻意遗漏。</w:t>
      </w:r>
    </w:p>
    <w:p w14:paraId="6DD53C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二、力学建模核心矛盾（必须大修，模型框架存在底层不对称缺陷）</w:t>
      </w:r>
    </w:p>
    <w:p w14:paraId="173C4D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统一\(Y_{Sa}=1.555\)基线造成三大标准计算框架人为不对称，建模逻辑不自洽</w:t>
      </w:r>
    </w:p>
    <w:p w14:paraId="4DD2F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1）ISO 原生流程：\(Y_{Sa}\)用于齿根应力集中；AGMA 原生用几何系数J、FKM 原生用疲劳缺口系数\(K_f\)，三者应力集中处理体系完全互斥。作者强制全部标准共用 ISO 的\(Y_{Sa}\)，人为删除 AGMA/FKM 原生应力放大项，同时额外叠加三者各自尺寸 / 表面修正，形成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双重计数 / 缺失并存的不对称建模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 2）内部矛盾：2.3 明确说明该操作会低估标准间总分歧，但 4.8 跨标准偏移计算、4.10 设计场景直接使用该基线下的偏移系数做风险评估，未对工程使用者警示偏移量存在系统性低估。 3）几何适配矛盾：对\(z_1=20,m_n=3\)齿轮，AGMA \(1/J≈3.03\)、FKM 近似\(K_f=1.84\)、ISO 复合\(Y_{Fa}Y_{Sa}Y_\varepsilon≈3.0\)，仅本齿轮巧合近似匹配；作者未强调该基线仅适配当前单一齿轮，却暗示框架通用，几何普适性表述虚假。</w:t>
      </w:r>
    </w:p>
    <w:p w14:paraId="566E2B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残余应力全量忽略，却外推到工业实际齿轮，力学边界严重失真</w:t>
      </w:r>
    </w:p>
    <w:p w14:paraId="62743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1）建模前提：采用完全无残余应力的调质 42CrMo4；但实际锻制齿轮\(R_z=50\mathrm{\mu m}\)带拉残余应力、磨削\(R_z=4\mathrm{\mu m}\)带压残余应力，渗碳齿轮表层 200~400MPa 压应力。残余应力直接改变平均应力比R，大幅缩放平均应力修正 18.2% 的方差占比。 2）行文矛盾：3.3 承认残余应力会显著改变均值应力贡献，但结论、标准化建议完全不区分 “无残余应力仿真” 与量产齿轮，直接将 18.2% 推广到通用齿轮设计。</w:t>
      </w:r>
    </w:p>
    <w:p w14:paraId="1C5253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表面粗糙度换算近似存在系统性偏置，未约束结论适用范围</w:t>
      </w:r>
    </w:p>
    <w:p w14:paraId="3ECD3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AGMA 使用\(R_a\)（微英寸），ISO/FKM 使用\(R_z\)，全文统一采用\(R_a≈R_z/6\)固定换算：</w:t>
      </w:r>
    </w:p>
    <w:p w14:paraId="0605981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锻造粗糙表面\(R_z/R_a\)实际区间 7~20，固定除以 6 会严重高估\(R_a\)，使 AGMA 表面惩罚偏保守；磨削表面比值 4~7，又低估\(R_a\)偏非保守。</w:t>
      </w:r>
    </w:p>
    <w:p w14:paraId="28DAF3D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作者 4.12 承认该换算带来 ±2pp 主效应偏差，但所有图表、方差分解数值未提供偏差区间标注，定量结果精度虚假。</w:t>
      </w:r>
    </w:p>
    <w:p w14:paraId="363FA3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ISO 粗糙度公式截断处理带来交互项低估，表述前后冲突</w:t>
      </w:r>
    </w:p>
    <w:p w14:paraId="221BAA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ISO 6336 表面修正公式仅验证至\(R_z=40\mathrm{\mu m}\)，\(R_z=50\mathrm{\mu m}\)锻造工况强制截断到 40μm 对应系数，人为缩小 ISO 与 FKM/AGMA 在高粗糙度下的分歧，标准 × 粗糙度交互项 1.2% 是保守下界；但正文 3.4 描述交互效应时未标注该截断带来的低估，仅在 4.12 末尾补充，正文解读弱化该关键偏置。</w:t>
      </w:r>
    </w:p>
    <w:p w14:paraId="2426AF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三、统计 AFT 方法硬错误与内部不一致</w:t>
      </w:r>
    </w:p>
    <w:p w14:paraId="53D3B8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AFT 删失似然对比 ANOVA/Sobol 分析，结论解读存在逻辑矛盾</w:t>
      </w:r>
    </w:p>
    <w:p w14:paraId="1B362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1）核心结论：丢弃 58% 越限样本（84 组 run-out）的传统 Sobol 会严重低估标准、粗糙度、均值应力方差占比（标准被低估 26.6pp）；该论证本身成立，但存在两处矛盾：</w:t>
      </w:r>
    </w:p>
    <w:p w14:paraId="78591DE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矛盾 1：5. 结论称 “AFT 是唯一适用于高删失疲劳数据的分解方法”，但 4.12 模型对比显示</w:t>
      </w:r>
      <w:r>
        <w:rPr>
          <w:rStyle w:val="8"/>
          <w:color w:val="000000"/>
          <w:sz w:val="24"/>
          <w:szCs w:val="24"/>
          <w:bdr w:val="none" w:color="auto" w:sz="0" w:space="0"/>
        </w:rPr>
        <w:t>对数逻辑斯蒂 AFT 拟合优度优于本文选用的对数正态 AFT（ΔAIC=-4.1）</w:t>
      </w:r>
      <w:r>
        <w:rPr>
          <w:color w:val="000000"/>
          <w:sz w:val="24"/>
          <w:szCs w:val="24"/>
          <w:bdr w:val="none" w:color="auto" w:sz="0" w:space="0"/>
        </w:rPr>
        <w:t>，作者仍强制选择对数正态，理由仅为 “和 Sobol 一阶指数数学等价”，牺牲拟合精度换取数学形式统一，统计模型选择逻辑不严谨。</w:t>
      </w:r>
    </w:p>
    <w:p w14:paraId="3DB8E10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矛盾 2：蒙特卡洛验证仅采用 30% 删失仿真数据集，而本文真实数据删失率 58% 接近可识别边界，低删失仿真不能完全证明 58% 高删失下分解无偏，验证支撑力度不足，却宣称模型完全稳定。 2）噪声阈值定义自相矛盾：设定信噪比\(S/N&gt;3\)（99.7% 置信）为有效因子，累积损伤规则\(S/N≈2\)判定为噪声地板；但 bootstrap 置信区间 0.1~0.8% 严格大于 0，统计上显著区别于 0，作者仅凭主观信噪比阈值判定无工程意义，统计判据标准不统一。</w:t>
      </w:r>
    </w:p>
    <w:p w14:paraId="10D81E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方差分解定义混淆，多处混淆 “似然比方差占比” 与传统 ANOVA 平方和方差</w:t>
      </w:r>
    </w:p>
    <w:p w14:paraId="34D3B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全文反复将\(\mathrm{Var}_j\%\)称作 “方差分数 (variance fraction)”，但 2.7 明确说明该指标是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对数似然降低占比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，不等价于经典 ANOVA 方差分解；大量图表、正文直接简写 “方差 %”，省略 “似然比” 限定，极易让齿轮工程读者误解为传统统计学方差贡献，术语定义使用不一致。</w:t>
      </w:r>
    </w:p>
    <w:p w14:paraId="0DCCED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删失非信息性假设无法验证，却默认成立，存在统计漏洞</w:t>
      </w:r>
    </w:p>
    <w:p w14:paraId="23F37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AFT 模型依赖 “越限 run-out 与真实失效时间独立” 的非信息删失假设；但本文 run-out 判定由有效应力是否超过疲劳强度决定，而有效应力恰好由研究的五大方法因子计算得出，存在天然相关性。作者仅通过阈值敏感性侧面佐证，无专门混合模式检验，却全程默认假设成立，统计前提存在未闭合漏洞。</w:t>
      </w:r>
    </w:p>
    <w:p w14:paraId="091205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四、三大齿轮标准公式引用与应用错误</w:t>
      </w:r>
    </w:p>
    <w:p w14:paraId="0829E9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FKM 第七版尺寸、表面修正简化近似，并非完整规范流程，却表述为原生 FKM 计算</w:t>
      </w:r>
    </w:p>
    <w:p w14:paraId="6B4371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1）FKM 原生疲劳缺口系数\(K_f\)需要完整应力梯度、支撑系数查表流程；本文仅用 Peterson/Neuber 简化估算，大幅简化 FKM 标准，人为缩小 FKM 与另外两套标准的分歧； 2）行文虚假表述：多处写 “FKM 标准计算”，未前置强调是简化近似版本，仅在 2.3 小字补充，主文本误导读者使用了完整官方 FKM 计算链。</w:t>
      </w:r>
    </w:p>
    <w:p w14:paraId="59E8D9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AGMA 2001-D04 表面系数单位转换存在疏漏</w:t>
      </w:r>
    </w:p>
    <w:p w14:paraId="26D7F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AGMA \(C_f\)中\(R_f\)单位为微英寸，本文\(R_z\)单位微米，\(R_a≈R_z/6\)后未完整执行微米→微英寸单位换算校验，仅做近似比例转换，标准公式执行存在计算细节误差。</w:t>
      </w:r>
    </w:p>
    <w:p w14:paraId="087B90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ISO 6336 尺寸因子适用条件表述矛盾</w:t>
      </w:r>
    </w:p>
    <w:p w14:paraId="080889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ISO 6336-3 规定\(m_n≤10\mathrm{mm}\)时\(Y_X=1\)，本文\(m_n=3\)mm 符合条件，该部分无误；但正文 4.6 标准化建议中，直接将该尺寸因子结论推广到大模数齿轮，未提示大模数下 ISO 尺寸因子不再为 1，外推条件不自洽。</w:t>
      </w:r>
    </w:p>
    <w:p w14:paraId="553B05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五、载荷、工况相关的内部逻辑矛盾</w:t>
      </w:r>
    </w:p>
    <w:p w14:paraId="06845B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扭矩依赖的因子优先级，结论前后割裂</w:t>
      </w:r>
    </w:p>
    <w:p w14:paraId="0489E7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1）700N・m（基准）：优先级 标准 (55.3%)&gt; 粗糙度 (22.6%)&gt; 均值应力 (18.2%)； 2）600N・m：标准 40.1%、粗糙度 34.1%，二者接近； 3）1.25/1.5 倍\(K_A\)冲击载荷：均值应力占比反超粗糙度； 矛盾点：摘要、结论给出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单一固定优先级排序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，完全不提该排序是 700N・m 近疲劳极限工况特有，低载荷工业齿轮（绝大多数量产变速箱）粗糙度权重显著提升，高冲击载荷均值应力主导；核心结论普适性被刻意夸大，未区分工况边界。</w:t>
      </w:r>
    </w:p>
    <w:p w14:paraId="093EC2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恒幅载荷下累积损伤规则 0.3% 结论，被多次不当泛化</w:t>
      </w:r>
    </w:p>
    <w:p w14:paraId="36F34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1）恒幅单一应力循环时，Miner / 修正 Miner 仅为固定寿命缩放系数，无损伤累积迭代效应，占比极低完全符合力学逻辑； 2）矛盾：引言、结论仅顺带一句 “不可外推变幅载荷”，但全文绝大多数工程建议、风险分级完全基于恒幅结果，未警示变幅谱下损伤规则权重会大幅上升，给变速箱变幅疲劳设计带来误导。</w:t>
      </w:r>
    </w:p>
    <w:p w14:paraId="66E6AF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\(K_A\)载荷系数敏感性结论表述片面</w:t>
      </w:r>
    </w:p>
    <w:p w14:paraId="548E05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仅测试\(K_A=1/1.25/1.5\)三级冲击载荷，证明排序不变；但未覆盖持续交变、冲击复合等工业常见载荷谱，却宣称 “标准主导排序不受载荷系数影响”，载荷覆盖面不足，结论夸大通用性。</w:t>
      </w:r>
    </w:p>
    <w:p w14:paraId="2CF901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六、图表、数据、图例不一致问题</w:t>
      </w:r>
    </w:p>
    <w:p w14:paraId="0F81E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2438400" cy="1828800"/>
            <wp:effectExtent l="0" t="0" r="0" b="0"/>
            <wp:docPr id="2" name="图片 1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5725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rPr>
          <w:color w:val="FFFFFF"/>
          <w:sz w:val="21"/>
          <w:szCs w:val="21"/>
        </w:rPr>
      </w:pPr>
      <w:r>
        <w:rPr>
          <w:rFonts w:ascii="宋体" w:hAnsi="宋体" w:eastAsia="宋体" w:cs="宋体"/>
          <w:color w:val="FFFFFF"/>
          <w:kern w:val="0"/>
          <w:sz w:val="21"/>
          <w:szCs w:val="21"/>
          <w:bdr w:val="none" w:color="auto" w:sz="0" w:space="0"/>
          <w:lang w:val="en-US" w:eastAsia="zh-CN" w:bidi="ar"/>
        </w:rPr>
        <w:t>图7方差分解柱状图</w:t>
      </w:r>
    </w:p>
    <w:p w14:paraId="730F3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6" name="图片 1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2438400" cy="1828800"/>
            <wp:effectExtent l="0" t="0" r="0" b="0"/>
            <wp:docPr id="3" name="图片 1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B98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rPr>
          <w:color w:val="FFFFFF"/>
          <w:sz w:val="21"/>
          <w:szCs w:val="21"/>
        </w:rPr>
      </w:pPr>
      <w:r>
        <w:rPr>
          <w:rFonts w:ascii="宋体" w:hAnsi="宋体" w:eastAsia="宋体" w:cs="宋体"/>
          <w:color w:val="FFFFFF"/>
          <w:kern w:val="0"/>
          <w:sz w:val="21"/>
          <w:szCs w:val="21"/>
          <w:bdr w:val="none" w:color="auto" w:sz="0" w:space="0"/>
          <w:lang w:val="en-US" w:eastAsia="zh-CN" w:bidi="ar"/>
        </w:rPr>
        <w:t>图10ANOVA/AFT偏差曲线</w:t>
      </w:r>
    </w:p>
    <w:p w14:paraId="21137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1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2438400" cy="1828800"/>
            <wp:effectExtent l="0" t="0" r="0" b="0"/>
            <wp:docPr id="5" name="图片 1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8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7AD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rPr>
          <w:color w:val="FFFFFF"/>
          <w:sz w:val="21"/>
          <w:szCs w:val="21"/>
        </w:rPr>
      </w:pPr>
      <w:r>
        <w:rPr>
          <w:rFonts w:ascii="宋体" w:hAnsi="宋体" w:eastAsia="宋体" w:cs="宋体"/>
          <w:color w:val="FFFFFF"/>
          <w:kern w:val="0"/>
          <w:sz w:val="21"/>
          <w:szCs w:val="21"/>
          <w:bdr w:val="none" w:color="auto" w:sz="0" w:space="0"/>
          <w:lang w:val="en-US" w:eastAsia="zh-CN" w:bidi="ar"/>
        </w:rPr>
        <w:t>图8粗糙度×标准交互图</w:t>
      </w:r>
    </w:p>
    <w:p w14:paraId="4FC92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1）图 7 柱状图标注 “bootstrap 均值”（标准 55.6%），但正文表 2 主结果为点估计 55.3%，正文行文频繁混用两个数值，未清晰区分拟合点估计与 bootstrap 均值，数据标注混乱； 2）图 10 横轴删失率 90% 处，Sobol/ANOVA 标准方差占比趋近 0，正文 4.7 文字描述仅说 “低估 40pp”，未解释极端高删失下传统方法完全丢失标准因子信号，图文解读匹配度差； 3）图 8 交互图 ISO 全部 run-out，正文 3.4 文字描述 ISO 粗糙度修正存在 40μm 截断，图例无标注截断边界，读者无法理解 ISO 曲线无下降趋势的根源； 4）bootstrap 置信区间多处出现四舍五入不一致：均值应力 18.2%，CI [10.8,25.0]，正文时而写 10.8~25、时而写 11~25，小数位不统一。</w:t>
      </w:r>
    </w:p>
    <w:p w14:paraId="028D02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七、行文内部自相矛盾（同一章节前后说法冲突）</w:t>
      </w:r>
    </w:p>
    <w:p w14:paraId="39279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1）关于研究普适性：</w:t>
      </w:r>
    </w:p>
    <w:p w14:paraId="08CFD9A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2.7：统计框架无齿轮特异性，可推广轴承、曲轴、焊接件；</w:t>
      </w:r>
    </w:p>
    <w:p w14:paraId="09EE1B1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4.12：所有定量方差数值严格仅限\(m_n=3,z_1=20\)调质 42CrMo4 单齿轮，不可外推； 两处表述同时出现，未区分 “统计方法框架通用” 和 “仿真定量结果专用”，极易混淆。 2）关于试验阶段定位：</w:t>
      </w:r>
    </w:p>
    <w:p w14:paraId="3EE32E9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摘要：提供可量化的不确定性分解工具；</w:t>
      </w:r>
    </w:p>
    <w:p w14:paraId="73A55A8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4.12、5 结论：仅为 Phase1 数值方法演示，二期试验后才能形成工程工具； 摘要刻意拔高当前阶段成果的工程成熟度，与讨论、结论限制条件冲突。 3）关于均值应力修正\(R=0\)影响：</w:t>
      </w:r>
    </w:p>
    <w:p w14:paraId="66468CD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3.3：推翻传统认知，\(R=0\)下均值应力仍显著；</w:t>
      </w:r>
    </w:p>
    <w:p w14:paraId="2EBDF83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4.1：补充该显著效应仅在高应力近疲劳极限工况成立，低应力工业齿轮均值应力贡献大幅下降； 引言只抛出颠覆性论断，后置讨论才补充工况约束，行文逻辑倒置，误导先入为主。</w:t>
      </w:r>
    </w:p>
    <w:p w14:paraId="7ED252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审稿人综合判定与修改意见分级</w:t>
      </w:r>
    </w:p>
    <w:p w14:paraId="3275DC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拒稿级硬伤（不解决无法录用）</w:t>
      </w:r>
    </w:p>
    <w:p w14:paraId="1CA76E3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无任何实体疲劳试验验证，却输出大量定量工程设计、标准化结论，存在严重夸大、虚假工程指导；</w:t>
      </w:r>
    </w:p>
    <w:p w14:paraId="3A4D351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试验设计自由度严重不对称，刻意选用差异极小的两组 S-N 曲线压低材料方差占比，核心结论存在人为偏倚；</w:t>
      </w:r>
    </w:p>
    <w:p w14:paraId="0AE215E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核心指标 55.3% 反复省略 “统一\(Y_{Sa}\)下界、仅尺寸表面修正分量” 关键限定，持续夸大标准分歧幅度。</w:t>
      </w:r>
    </w:p>
    <w:p w14:paraId="577807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大修强制修改项（所有建模、统计、标准公式缺陷必须完整修正）</w:t>
      </w:r>
    </w:p>
    <w:p w14:paraId="5D9DE4C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重写统一\(Y_{Sa}\)基线相关全部内容，所有图表、数值后强制标注 “该数值为完整标准分歧下界，原生应力链计算分歧更大”；</w:t>
      </w:r>
    </w:p>
    <w:p w14:paraId="1645EC5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区分 “对数似然比方差占比” 与传统 ANOVA 方差，全文术语、图例统一，消除读者混淆；</w:t>
      </w:r>
    </w:p>
    <w:p w14:paraId="1E97C23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 FKM 完整原生流程校核、AGMA 单位换算完整推导，删除简化近似带来的标准对比偏置；</w:t>
      </w:r>
    </w:p>
    <w:p w14:paraId="0CC6066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所有结论、摘要删除 “通用优先级排序” 表述，严格绑定 700N・m、无残余应力、恒幅\(R=0\)调质齿轮工况；</w:t>
      </w:r>
    </w:p>
    <w:p w14:paraId="4250C62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修正 AFT 模型选择逻辑，补充对数逻辑斯蒂模型对比完整讨论，解释放弃更优拟合模型的代价；</w:t>
      </w:r>
    </w:p>
    <w:p w14:paraId="4783E1E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统一所有图表数值、置信区间小数位，图例补充 ISO 粗糙度截断、\(R_z/R_a\)换算偏差说明。</w:t>
      </w:r>
    </w:p>
    <w:p w14:paraId="14628A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小幅修改（行文、逻辑澄清）</w:t>
      </w:r>
    </w:p>
    <w:p w14:paraId="07BA52B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明确区分 “统计分解框架可通用” 和 “仿真定量结果仅限本齿轮”，消除普适性表述矛盾；</w:t>
      </w:r>
    </w:p>
    <w:p w14:paraId="3B0ABF8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全文统一信噪比判定标准，解释累积损伤规则 0.3% 虽统计显著但工程无意义的分层依据；</w:t>
      </w:r>
    </w:p>
    <w:p w14:paraId="56C8D48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补充非信息删失假设局限性完整讨论，说明本研究无法严格验证该统计前提；</w:t>
      </w:r>
    </w:p>
    <w:p w14:paraId="50D3E23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所有标准化、设计风险场景章节增加醒目的边界提示框，区分仿真理想化条件与工业真实齿轮。</w:t>
      </w:r>
    </w:p>
    <w:p w14:paraId="162F8D1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775D5"/>
    <w:multiLevelType w:val="multilevel"/>
    <w:tmpl w:val="B0F77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9FF1E7"/>
    <w:multiLevelType w:val="multilevel"/>
    <w:tmpl w:val="B39FF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219903"/>
    <w:multiLevelType w:val="multilevel"/>
    <w:tmpl w:val="BD219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E875847"/>
    <w:multiLevelType w:val="multilevel"/>
    <w:tmpl w:val="BE875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870F3C"/>
    <w:multiLevelType w:val="multilevel"/>
    <w:tmpl w:val="D7870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DA49F9"/>
    <w:multiLevelType w:val="multilevel"/>
    <w:tmpl w:val="DCDA4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04F6962"/>
    <w:multiLevelType w:val="multilevel"/>
    <w:tmpl w:val="F04F69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8DFAF2A"/>
    <w:multiLevelType w:val="multilevel"/>
    <w:tmpl w:val="08DFAF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8AAB8AD"/>
    <w:multiLevelType w:val="multilevel"/>
    <w:tmpl w:val="18AAB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29ADEEC"/>
    <w:multiLevelType w:val="multilevel"/>
    <w:tmpl w:val="229ADE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9D7BFE3"/>
    <w:multiLevelType w:val="multilevel"/>
    <w:tmpl w:val="29D7BF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F4B2F52"/>
    <w:multiLevelType w:val="multilevel"/>
    <w:tmpl w:val="2F4B2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328964F"/>
    <w:multiLevelType w:val="multilevel"/>
    <w:tmpl w:val="33289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4098F8A"/>
    <w:multiLevelType w:val="multilevel"/>
    <w:tmpl w:val="44098F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49329A5B"/>
    <w:multiLevelType w:val="multilevel"/>
    <w:tmpl w:val="49329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5BAB37E"/>
    <w:multiLevelType w:val="multilevel"/>
    <w:tmpl w:val="55BAB3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C240B24"/>
    <w:multiLevelType w:val="multilevel"/>
    <w:tmpl w:val="5C240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C6015D2"/>
    <w:multiLevelType w:val="multilevel"/>
    <w:tmpl w:val="7C6015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4"/>
  </w:num>
  <w:num w:numId="2">
    <w:abstractNumId w:val="6"/>
  </w:num>
  <w:num w:numId="3">
    <w:abstractNumId w:val="16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11"/>
  </w:num>
  <w:num w:numId="9">
    <w:abstractNumId w:val="10"/>
  </w:num>
  <w:num w:numId="10">
    <w:abstractNumId w:val="13"/>
  </w:num>
  <w:num w:numId="11">
    <w:abstractNumId w:val="7"/>
  </w:num>
  <w:num w:numId="12">
    <w:abstractNumId w:val="3"/>
  </w:num>
  <w:num w:numId="13">
    <w:abstractNumId w:val="12"/>
  </w:num>
  <w:num w:numId="14">
    <w:abstractNumId w:val="8"/>
  </w:num>
  <w:num w:numId="15">
    <w:abstractNumId w:val="1"/>
  </w:num>
  <w:num w:numId="16">
    <w:abstractNumId w:val="9"/>
  </w:num>
  <w:num w:numId="17">
    <w:abstractNumId w:val="1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701A2"/>
    <w:rsid w:val="2877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2026-08-08T01:39:00Z</dcterms:created>
  <dc:creator>陈智磊</dc:creator>
  <cp:lastModifiedBy>陈智磊</cp:lastModifiedBy>
  <dcterms:modified xsi:type="dcterms:W3CDTF">2026-08-08T01:40:39Z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46477DC26DC14087A98802504671C860_11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