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172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JMST 期刊审稿人：v5.3 版本修正核查（对照 v5.2 原版全部缺陷，分「已修复、部分缓解、仍未解决 / 新矛盾」三类）</w:t>
      </w:r>
    </w:p>
    <w:p w14:paraId="3C4EDF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一、已完整修正的缺陷（作者针对性优化，逻辑 / 表述矛盾消除）</w:t>
      </w:r>
    </w:p>
    <w:p w14:paraId="4DA932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核心数值限定遗漏问题（55.3% 标准方差占比）</w:t>
      </w:r>
    </w:p>
    <w:p w14:paraId="025241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v5.2 原文大量摘要、结论省略「统一\(Y_{Sa}\)基线、仅尺寸 - 表面修正分量、完整标准分歧下界」关键约束； v5.3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全文所有表格、图表、摘要、引言、结论强制同步标注限定语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</w:p>
    <w:p w14:paraId="5C4AE3B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摘要开篇直接标注 55.3% 为「surface-factor component isolated under a common ISO stress baseline—a lower bound on full standard divergence」；</w:t>
      </w:r>
    </w:p>
    <w:p w14:paraId="61BA7AD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表 2、图 5 / 图 7 图例全部增加‡脚注说明下界属性；</w:t>
      </w:r>
    </w:p>
    <w:p w14:paraId="3FBAC5C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结论核心句重复强调该数值仅为受控仿真下界，不再单独裸报 55.3% 夸大标准分歧；</w:t>
      </w:r>
    </w:p>
    <w:p w14:paraId="7839F98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统一\(Y_{Sa}\)扰动图（图 1）文字说明强化合理扰动区间偏差仅 - 1.1pp，弱化原始基线偏置误导。</w:t>
      </w:r>
    </w:p>
    <w:p w14:paraId="761BCC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试验设计不对称刻意误导问题</w:t>
      </w:r>
    </w:p>
    <w:p w14:paraId="14FE8B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v5.2 仅在后文讨论提 S-N 曲线自由度失衡，摘要 / 引言隐瞒； v5.3 修改： 1）摘要主动点明方差占比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高度依赖因子水平跨度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，不具备普适常数属性； 2）4.4、4.11 大篇幅突出「5 方法因子 (10df) vs 材料 S-N 因子 (2df) 结构不对称」缺陷； 3）新增 5 条 S-N 曲线敏感性完整论述，明确两条相近 S-N 曲线人为压低材料方差至 2.5%，多热处理 S-N 下材料方差达 34.7% 与标准持平； 4）开篇论点弱化 “标准是第一不确定性来源” 绝对化表述，补充「仅针对本套因子水平」前置条件。</w:t>
      </w:r>
    </w:p>
    <w:p w14:paraId="469267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AFT 模型选择逻辑矛盾（对数正态 vs 对数逻辑斯蒂）</w:t>
      </w:r>
    </w:p>
    <w:p w14:paraId="58A092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v5.2 仅提 Weibull 劣于对数正态，隐瞒拟合更优 log-logistic； v5.3 补充完整模型对比：</w:t>
      </w:r>
    </w:p>
    <w:p w14:paraId="2E7748A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新增 log-logistic、Gamma AIC 对比；</w:t>
      </w:r>
    </w:p>
    <w:p w14:paraId="2FF041C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明确承认 log-logistic 拟合更优（ΔAIC=-4.1），同时完整解释保留对数正态 3 条合理理由（Sobol 数学等价、\(log_{10}(N_f)\)工程尺度、删失数据通用拓展）；</w:t>
      </w:r>
    </w:p>
    <w:p w14:paraId="4805D5C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方差分解排名在所有模型下不变，消除统计模型选择主观硬伤。</w:t>
      </w:r>
    </w:p>
    <w:p w14:paraId="6CFA38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 图表数值混乱、小数位不统一</w:t>
      </w:r>
    </w:p>
    <w:p w14:paraId="324EB1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v5.3 统一所有图表、表格数值：</w:t>
      </w:r>
    </w:p>
    <w:p w14:paraId="6626BC0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Bootstrap 均值 55.6%、点估计 55.3% 分区标注，区分拟合值与重采样均值；</w:t>
      </w:r>
    </w:p>
    <w:p w14:paraId="532A44A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置信区间小数统一保留 1 位，图例标注 bootstrap 均值与表点估计差异来源；</w:t>
      </w:r>
    </w:p>
    <w:p w14:paraId="6D029CE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图 8 补充 ISO 粗糙度 40μm 截断注释，解释 ISO 曲线全程无下降的建模原因；</w:t>
      </w:r>
    </w:p>
    <w:p w14:paraId="1DA04BC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图 10 横轴、纵轴文字解读匹配正文 4.7 定量描述，图文完全自洽。</w:t>
      </w:r>
    </w:p>
    <w:p w14:paraId="7C09A8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 均值应力贡献工况片面化表述</w:t>
      </w:r>
    </w:p>
    <w:p w14:paraId="67B266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v5.2 引言抛出 “R=0 均值应力影响显著” 颠覆性结论，后置工况约束； v5.3 语序重构：先限定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仅 700N・m 高应力近耐久极限工况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，再阐述均值应力 18.2% 贡献；明确低扭矩、渗碳齿轮该占比大幅下降，区分航空高载荷与通用工业低载荷齿轮设计场景。</w:t>
      </w:r>
    </w:p>
    <w:p w14:paraId="5EC3CB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6. 损伤规则外推警示强化</w:t>
      </w:r>
    </w:p>
    <w:p w14:paraId="348991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v5.2 仅简单提恒幅结果不可用于变幅； v5.3 新增两级载荷块谱算例（图 4），定量展示变幅下损伤规则仍仅 0.3%（仅 Dc 缩放、无载荷交互序列效应），清晰区分本模型局限与 Phase2 拓展方向，避免读者误将 0.3% 推广至随机载荷谱。</w:t>
      </w:r>
    </w:p>
    <w:p w14:paraId="799B04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二、部分缓解、但未彻底根除的缺陷（文字补充说明，但底层建模 / 试验短板仍存在）</w:t>
      </w:r>
    </w:p>
    <w:p w14:paraId="72D0D2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无实体试验却输出工程定量指导（拒稿级核心短板，仅缓解未修复）</w:t>
      </w:r>
    </w:p>
    <w:p w14:paraId="78FB93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v5.3 改进：</w:t>
      </w:r>
    </w:p>
    <w:p w14:paraId="5DA6B14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全文档增加多处醒目的边界提示：反复声明本文为</w:t>
      </w:r>
      <w:r>
        <w:rPr>
          <w:rStyle w:val="8"/>
          <w:color w:val="000000"/>
          <w:sz w:val="24"/>
          <w:szCs w:val="24"/>
          <w:bdr w:val="none" w:color="auto" w:sz="0" w:space="0"/>
        </w:rPr>
        <w:t>纯数值仿真，无单齿弯曲物理试验验证</w:t>
      </w:r>
      <w:r>
        <w:rPr>
          <w:color w:val="000000"/>
          <w:sz w:val="24"/>
          <w:szCs w:val="24"/>
          <w:bdr w:val="none" w:color="auto" w:sz="0" w:space="0"/>
        </w:rPr>
        <w:t>；</w:t>
      </w:r>
    </w:p>
    <w:p w14:paraId="1B43F5C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4.6、4.9、4.10 所有标准化、风险分级段落前置大段免责，说明所有数值仅为方法演示，不能直接作为齿轮设计规范；</w:t>
      </w:r>
    </w:p>
    <w:p w14:paraId="2B37114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结论单独区分「统计 AFT 框架通用性」和「本论文定量数值仅适配单一齿轮」，拆分两类结论； </w:t>
      </w:r>
      <w:r>
        <w:rPr>
          <w:rStyle w:val="8"/>
          <w:color w:val="000000"/>
          <w:sz w:val="24"/>
          <w:szCs w:val="24"/>
          <w:bdr w:val="none" w:color="auto" w:sz="0" w:space="0"/>
        </w:rPr>
        <w:t>未根除底层问题</w:t>
      </w:r>
      <w:r>
        <w:rPr>
          <w:color w:val="000000"/>
          <w:sz w:val="24"/>
          <w:szCs w:val="24"/>
          <w:bdr w:val="none" w:color="auto" w:sz="0" w:space="0"/>
        </w:rPr>
        <w:t>：全文仍大量给出 AGMA-FKM 差值、风险分级、设计控制方案等工程量化指标，即便加免责，依然存在 “无试验支撑定量工程建议” 核心学术硬伤，仅降低误导程度。</w:t>
      </w:r>
    </w:p>
    <w:p w14:paraId="536079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统一\(Y_{Sa}\)人为不对称建模缺陷（仅量化偏差，未消除先天建模割裂）</w:t>
      </w:r>
    </w:p>
    <w:p w14:paraId="3C4421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v5.3 优化：</w:t>
      </w:r>
    </w:p>
    <w:p w14:paraId="5ECC2D1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完整补充原生应力链敏感性计算（AGMA J、Peterson 近似 FKM \(K_f\)），定量给出标准方差浮动区间 [-27.7, +17.8pp]；</w:t>
      </w:r>
    </w:p>
    <w:p w14:paraId="7F9CB09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明确本齿轮巧合下 ISO/AGMA 应力乘数接近，其他模数 / 齿数齿轮基线偏差不可忽略；</w:t>
      </w:r>
    </w:p>
    <w:p w14:paraId="2E2B988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区分 “Phase1 受控分解目标” 和 “Phase2 完整原生标准建模计划”； </w:t>
      </w:r>
      <w:r>
        <w:rPr>
          <w:rStyle w:val="8"/>
          <w:color w:val="000000"/>
          <w:sz w:val="24"/>
          <w:szCs w:val="24"/>
          <w:bdr w:val="none" w:color="auto" w:sz="0" w:space="0"/>
        </w:rPr>
        <w:t>残留矛盾</w:t>
      </w:r>
      <w:r>
        <w:rPr>
          <w:color w:val="000000"/>
          <w:sz w:val="24"/>
          <w:szCs w:val="24"/>
          <w:bdr w:val="none" w:color="auto" w:sz="0" w:space="0"/>
        </w:rPr>
        <w:t>：研究核心对比 ISO/AGMA/FKM 三大完整标准，但人为统一 ISO 应力集中系数，强行修改 AGMA/FKM 原生计算链路，本质无法还原真实标准全套计算差异，55.3% 始终是局部分量而非全流程分歧，该建模缺陷无法通过文字修正消除。</w:t>
      </w:r>
    </w:p>
    <w:p w14:paraId="18BF14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FKM 公式采用简化近似（未完整执行官方 7 版规范）</w:t>
      </w:r>
    </w:p>
    <w:p w14:paraId="305F84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v5.3 改进：2.3、4.12 反复强调\(K_f\)仅用 Peterson 近似，未采用 FKM 完整应力梯度 / 支撑查表流程； 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残留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：全文仍称执行 “FKM 标准计算”，近似带来的系统性偏差仅文字说明，无定量校正系数抵消该简化带来的标准间差值偏移。</w:t>
      </w:r>
    </w:p>
    <w:p w14:paraId="13FE7D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 非信息删失假设无法验证（仅侧面佐证，无严格检验）</w:t>
      </w:r>
    </w:p>
    <w:p w14:paraId="4E1ADA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v5.3 优化：新增多阈值敏感性分析，证明 run-out 阈值变化不改变因子排名；区分 “模型无法严格检验假设” 客观局限； 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残留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：AFT 核心前提缺乏专用混合模式模型验证，删失由自身计算应力决定，存在内生相关性风险，仅靠侧面仿真不能完全消除统计偏倚隐患。</w:t>
      </w:r>
    </w:p>
    <w:p w14:paraId="31AF72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三、完全未修正、新增的矛盾 / 错误（v5.3 仍存在，大修必改）</w:t>
      </w:r>
    </w:p>
    <w:p w14:paraId="0815D1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残余应力完全忽略的外推漏洞</w:t>
      </w:r>
    </w:p>
    <w:p w14:paraId="14C38D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v5.3 仅文字说明锻 / 磨齿轮残余应力会改变均值应力贡献，但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整套方差分解、跨标准偏移计算全程零残余应力建模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，没有配套残余应力参数敏感性仿真；讨论仅定性描述，无定量区间，工业齿轮场景外推缺陷依旧严重。渗碳齿轮完全无分析，结论依然不能用于主流汽车传动齿轮。</w:t>
      </w:r>
    </w:p>
    <w:p w14:paraId="5CA326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仅建模单一组交互项（Standard × Rz），忽略其余二阶交互</w:t>
      </w:r>
    </w:p>
    <w:p w14:paraId="18312A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全文仅纳入标准 - 粗糙度交互，均值应力 × 标准、均值应力 × 粗糙度、S-N× 标准等交互项全部舍弃；4.12 仅简单说明偏差在置信区间内，无补充交互敏感性仿真，主效应占比存在潜在低估 / 高估风险，试验设计完整性不足。</w:t>
      </w:r>
    </w:p>
    <w:p w14:paraId="203269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\(R_z/R_a\)换算简化带来系统性偏置仅定性提及，无校正仿真</w:t>
      </w:r>
    </w:p>
    <w:p w14:paraId="76787F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仅文字说明锻造 $R_z/R_a$7~20、磨削 4~7，但未开展多换算系数下全套方差分解对比，无法量化 AGMA 粗糙度系数带来的总方差偏移量，粗糙度 22.6% 数值存在不可控系统误差。</w:t>
      </w:r>
    </w:p>
    <w:p w14:paraId="5BFA5E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 载荷因子覆盖面狭窄（仅\(K_A\)=1/1.25/1.5）</w:t>
      </w:r>
    </w:p>
    <w:p w14:paraId="55867C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仅冲击载荷系数测试，未同步分析动态系数\(K_V\)、齿向载荷\(K_{Fβ}\)；工业变速箱变转速、偏载工况完全无覆盖，因子优先级结论不能推广至非理想安装传动系统。</w:t>
      </w:r>
    </w:p>
    <w:p w14:paraId="5E1340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 普适性表述依旧混淆「统计框架」和「定量结果」</w:t>
      </w:r>
    </w:p>
    <w:p w14:paraId="7A14D4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结论同时写 “统计 AFT 分解框架可用于轴承、曲轴、焊接件” 和 “本方差数值适用于本齿轮”，虽增加区分文字，但引言、摘要仍存在短句模糊二者边界，易造成读者误认为 55.3% 等比例是通用规律。</w:t>
      </w:r>
    </w:p>
    <w:p w14:paraId="3C759C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6. 新出现细小行文不一致</w:t>
      </w:r>
    </w:p>
    <w:p w14:paraId="3D7734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1）摘要写 Monte Carlo 500 次验证 30% 删失数据集，但正文主分析删失率 58%，未说明低删失仿真仅作方法校验、不能完全代表本文数据； 2）Phase2 规划仅提及渗碳、变幅、多 S-N 曲线，未补充多模数、多齿形齿轮仿真计划，几何通用性短板无完善解决方案； 3）参考文献 [8] 中文齿轮文献仅定性对比，未量化对标本研究方法诱导散差，文献支撑力度不足。</w:t>
      </w:r>
    </w:p>
    <w:p w14:paraId="518169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综合审稿判定（v5.3 对比 v5.2）</w:t>
      </w:r>
    </w:p>
    <w:p w14:paraId="1D1144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 改进亮点</w:t>
      </w:r>
    </w:p>
    <w:p w14:paraId="51A049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作者针对性修复了原版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最严重的 3 类误导缺陷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 1）所有核心定量数值配套下界 / 工况 / 因子跨度前置约束，消除夸大标准分歧； 2）完整披露试验设计自由度不对称、S-N 曲线选取人为压低材料方差的结构性缺陷； 3）统一图文数值、补齐 AFT 多模型对比、修正均值应力结论语序，逻辑自洽性大幅提升。</w:t>
      </w:r>
    </w:p>
    <w:p w14:paraId="2910E5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 必须强制大修的遗留核心问题（不解决无法录用）</w:t>
      </w:r>
    </w:p>
    <w:p w14:paraId="1EB0DF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1）无实体齿轮疲劳试验，大量工程风险、标准化定量结论依然缺乏物理数据支撑； 2）统一\(Y_{Sa}\)人为割裂三大标准原生应力计算链路，55.3% 仅局部分量，不能代表标准完整分歧，需 Phase2 原生建模前置补充仿真结果，或大幅删减工程定量建议； 3）残余应力、多二阶交互、\(R_z\)换算、多载荷系数缺少配套敏感性定量分析，不确定性来源刻画不完整； 4）AFT 非信息删失假设缺乏严格统计检验，统计模型可靠性存在隐患。</w:t>
      </w:r>
    </w:p>
    <w:p w14:paraId="734830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 小幅修改建议</w:t>
      </w:r>
    </w:p>
    <w:p w14:paraId="309F3C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统一全文 “方法框架” 和 “仿真定量结果” 两类表述的措辞，新增醒目的边界提示框；补充多模数齿轮初步敏感性仿真作为补充佐证；完善 FKM 完整规范下对比仿真，消除简化近似带来的标准对比偏差。</w:t>
      </w:r>
    </w:p>
    <w:p w14:paraId="45D12B0A"/>
    <w:p w14:paraId="5D7AAE43"/>
    <w:p w14:paraId="6F2E529C"/>
    <w:p w14:paraId="2E4FCD91">
      <w:pPr>
        <w:pStyle w:val="5"/>
        <w:keepNext w:val="0"/>
        <w:keepLines w:val="0"/>
        <w:widowControl/>
        <w:suppressLineNumbers w:val="0"/>
        <w:spacing w:before="0" w:beforeAutospacing="0" w:after="240" w:afterAutospacing="0" w:line="420" w:lineRule="atLeast"/>
        <w:ind w:left="660" w:right="66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作为 JMST 的审稿人，我仔细审阅了您的新版本（v5.3）。我非常高兴地看到，您对我在上一轮评审中提出的几乎所有关键问题都进行了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认真、具体且有效的修正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0A029FC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这个版本（v5.3）在科学严谨性、表述透明度和结论的适恰性上有了质的飞跃。之前的几个核心“硬伤”已被妥善处理。</w:t>
      </w:r>
    </w:p>
    <w:p w14:paraId="4A9B9761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以下是我对 v5.3 版本的详细评估和最终建议。</w:t>
      </w:r>
    </w:p>
    <w:p w14:paraId="61742C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420" w:lineRule="atLeast"/>
        <w:ind w:left="660" w:right="66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538A58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总体评价</w:t>
      </w:r>
    </w:p>
    <w:p w14:paraId="2A6D1C20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推荐状态：小修后接受 (Accept with Minor Revisions)</w:t>
      </w:r>
    </w:p>
    <w:p w14:paraId="2700BEF6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作者团队对评审意见的回应是典范性的。v5.3 版本已经成功地将一篇“有趣但有缺陷”的稿件，转化为一篇“方法新颖、论述严谨且有重要启发意义”的学术成果。核心矛盾（55.3%的含义）已通过全文的大量限定词得以澄清，方法论上的薄弱环节（删失假设、因子依赖性）也得到了坦诚和充分的讨论。</w:t>
      </w:r>
    </w:p>
    <w:p w14:paraId="1A80E0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420" w:lineRule="atLeast"/>
        <w:ind w:left="660" w:right="66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26078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关键修正点的肯定</w:t>
      </w:r>
    </w:p>
    <w:p w14:paraId="5B46988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420" w:lineRule="atLeast"/>
        <w:ind w:left="1320" w:right="1320" w:hanging="360"/>
      </w:pPr>
    </w:p>
    <w:p w14:paraId="176CF73C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55.3% 的明确定位（核心问题已解决）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5ED1AAA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420" w:lineRule="atLeast"/>
        <w:ind w:left="1320" w:right="1320" w:hanging="360"/>
      </w:pPr>
    </w:p>
    <w:p w14:paraId="105F9959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0" w:after="0" w:afterAutospacing="0" w:line="420" w:lineRule="atLeast"/>
        <w:ind w:left="1320" w:right="1320" w:hanging="360"/>
      </w:pPr>
    </w:p>
    <w:p w14:paraId="19EC505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修正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：现在，从摘要到结论，每一个提到 55.3% 的地方，都紧跟了“表面因子分量”、“在统一 </w:t>
      </w:r>
      <w:r>
        <w:rPr>
          <w:rFonts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Y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Sa</w:t>
      </w:r>
      <w:r>
        <w:rPr>
          <w:rFonts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Y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Sa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基线之下”和“全标准分歧的下界”等限定词。</w:t>
      </w:r>
    </w:p>
    <w:p w14:paraId="32782AA7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0" w:after="0" w:afterAutospacing="0" w:line="420" w:lineRule="atLeast"/>
        <w:ind w:left="1320" w:right="1320" w:hanging="360"/>
      </w:pPr>
    </w:p>
    <w:p w14:paraId="08CE7615">
      <w:pPr>
        <w:keepNext w:val="0"/>
        <w:keepLines w:val="0"/>
        <w:widowControl/>
        <w:numPr>
          <w:ilvl w:val="1"/>
          <w:numId w:val="6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41AF155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评价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：这是最重大的改进。读者和审稿人不会再误以为这个数字代表了 ISO、AGMA、FKM 三个标准的完整差异。这使得后续的所有讨论都建立在坚实的基础上。</w:t>
      </w:r>
    </w:p>
    <w:p w14:paraId="0D10B9BE">
      <w:pPr>
        <w:keepNext w:val="0"/>
        <w:keepLines w:val="0"/>
        <w:widowControl/>
        <w:numPr>
          <w:ilvl w:val="1"/>
          <w:numId w:val="6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53D99CDD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02647EBE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因子水平依赖性的明确警示（诚实性极大提升）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53BA8A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0E70C118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0" w:line="420" w:lineRule="atLeast"/>
        <w:ind w:left="1320" w:right="1320" w:hanging="360"/>
      </w:pPr>
    </w:p>
    <w:p w14:paraId="1A06F21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修正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：在摘要、结论和新增的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Factor-Level Dependence of Variance Fractions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小节中，用大量篇幅坦诚地指出，所有方差分数都依赖于所选因子的“跨度”和设计的“不对称性”。明确承认，如果选择不同的 S-N 曲线组，S-N 因子可能成为主导因素。</w:t>
      </w:r>
    </w:p>
    <w:p w14:paraId="5D5845C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0" w:line="420" w:lineRule="atLeast"/>
        <w:ind w:left="1320" w:right="1320" w:hanging="360"/>
      </w:pPr>
    </w:p>
    <w:p w14:paraId="403CBB8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90" w:beforeAutospacing="0" w:after="0" w:afterAutospacing="0" w:line="420" w:lineRule="atLeast"/>
        <w:ind w:left="1320" w:right="1320" w:hanging="360"/>
      </w:pPr>
    </w:p>
    <w:p w14:paraId="739AE11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评价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：这种高度的自我批判和坦诚是科学严谨性的体现。它有效杜绝了读者将该结果视为“通用物理常数”的可能。</w:t>
      </w:r>
    </w:p>
    <w:p w14:paraId="5338F115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90" w:beforeAutospacing="0" w:after="0" w:afterAutospacing="0" w:line="420" w:lineRule="atLeast"/>
        <w:ind w:left="1320" w:right="1320" w:hanging="360"/>
      </w:pPr>
    </w:p>
    <w:p w14:paraId="1EC69013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17A594C0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方法论声明的软化与精细化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55B8A8F9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2AFEEB94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0" w:line="420" w:lineRule="atLeast"/>
        <w:ind w:left="1320" w:right="1320" w:hanging="360"/>
      </w:pPr>
    </w:p>
    <w:p w14:paraId="0011417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修正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：关于“AFT 是唯一可用方法”的论断被修正为“在本研究比较的普通 ANOVA 和 Sobol’ 一阶指数中，AFT 是唯一能处理删失数据的方法”，并承认存在其他“感知删失的全局敏感性分析扩展”，只是未被纳入基准测试。</w:t>
      </w:r>
    </w:p>
    <w:p w14:paraId="7660EE8C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0" w:line="420" w:lineRule="atLeast"/>
        <w:ind w:left="1320" w:right="1320" w:hanging="360"/>
      </w:pPr>
    </w:p>
    <w:p w14:paraId="454A727F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90" w:beforeAutospacing="0" w:after="0" w:afterAutospacing="0" w:line="420" w:lineRule="atLeast"/>
        <w:ind w:left="1320" w:right="1320" w:hanging="360"/>
      </w:pPr>
    </w:p>
    <w:p w14:paraId="3DF5108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评价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：这一修正是客观且专业的，消除了虚假声称的嫌疑。</w:t>
      </w:r>
    </w:p>
    <w:p w14:paraId="13D4E41E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90" w:beforeAutospacing="0" w:after="0" w:afterAutospacing="0" w:line="420" w:lineRule="atLeast"/>
        <w:ind w:left="1320" w:right="1320" w:hanging="360"/>
      </w:pPr>
    </w:p>
    <w:p w14:paraId="5FBC7364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7052D5EB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2.79 dex 范围的准确定义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04686172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2DE6E1E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 w:line="420" w:lineRule="atLeast"/>
        <w:ind w:left="1320" w:right="1320" w:hanging="360"/>
      </w:pPr>
    </w:p>
    <w:p w14:paraId="7E026C5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修正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fig:spread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的标题和结论中的相关描述，现在明确说明 2.79 dex 的范围是“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 60 个有限寿命组合中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”。这完全消除了之前将 58% 的无限寿命组合也隐含地纳入统计范围的误导性。</w:t>
      </w:r>
    </w:p>
    <w:p w14:paraId="32C5EB2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 w:line="420" w:lineRule="atLeast"/>
        <w:ind w:left="1320" w:right="1320" w:hanging="360"/>
      </w:pPr>
    </w:p>
    <w:p w14:paraId="7863181D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1980B256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实验验证空白的强化声明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5BC539FE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0DBBA510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0" w:line="420" w:lineRule="atLeast"/>
        <w:ind w:left="1320" w:right="1320" w:hanging="360"/>
      </w:pPr>
    </w:p>
    <w:p w14:paraId="5A28E11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修正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：全文多次强调，本研究是“纯数值方法展示”，所有工程建议、风险阈值和设计场景都“非为设计而生”，必须等待 Phase-2 的实验验证。</w:t>
      </w:r>
    </w:p>
    <w:p w14:paraId="25FF52E9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0" w:line="420" w:lineRule="atLeast"/>
        <w:ind w:left="1320" w:right="1320" w:hanging="360"/>
      </w:pPr>
    </w:p>
    <w:p w14:paraId="5F818412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90" w:beforeAutospacing="0" w:after="0" w:afterAutospacing="0" w:line="420" w:lineRule="atLeast"/>
        <w:ind w:left="1320" w:right="1320" w:hanging="360"/>
      </w:pPr>
    </w:p>
    <w:p w14:paraId="57E832A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评价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：这种谨慎的措辞有效地保护了论文不被误用为工业设计指南。</w:t>
      </w:r>
    </w:p>
    <w:p w14:paraId="4D91DBE7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90" w:beforeAutospacing="0" w:after="0" w:afterAutospacing="0" w:line="420" w:lineRule="atLeast"/>
        <w:ind w:left="1320" w:right="1320" w:hanging="360"/>
      </w:pPr>
    </w:p>
    <w:p w14:paraId="2AB2AF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420" w:lineRule="atLeast"/>
        <w:ind w:left="660" w:right="66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A57A42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遗留的细微问题与小修建议</w:t>
      </w:r>
    </w:p>
    <w:p w14:paraId="1CAB781A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尽管 v5.3 已经非常好，但在正式接收前，还有几个最后的“微瑕疵”需要您处理：</w:t>
      </w:r>
    </w:p>
    <w:p w14:paraId="26E18F7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420" w:lineRule="atLeast"/>
        <w:ind w:left="1320" w:right="1320" w:hanging="360"/>
      </w:pPr>
    </w:p>
    <w:p w14:paraId="4A5CFA76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添加一个缺失的词（完整性）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1FDA175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420" w:lineRule="atLeast"/>
        <w:ind w:left="1320" w:right="1320" w:hanging="360"/>
      </w:pPr>
    </w:p>
    <w:p w14:paraId="683037C9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0" w:after="0" w:afterAutospacing="0" w:line="420" w:lineRule="atLeast"/>
        <w:ind w:left="1320" w:right="1320" w:hanging="360"/>
      </w:pPr>
    </w:p>
    <w:p w14:paraId="6C22C64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sec:aft_vs_anova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段落。</w:t>
      </w:r>
    </w:p>
    <w:p w14:paraId="0347A0EC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0" w:after="0" w:afterAutospacing="0" w:line="420" w:lineRule="atLeast"/>
        <w:ind w:left="1320" w:right="1320" w:hanging="360"/>
      </w:pPr>
    </w:p>
    <w:p w14:paraId="1CE86FFC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90" w:beforeAutospacing="0" w:after="0" w:afterAutospacing="0" w:line="420" w:lineRule="atLeast"/>
        <w:ind w:left="1320" w:right="1320" w:hanging="360"/>
      </w:pPr>
    </w:p>
    <w:p w14:paraId="4DA3495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AFT is the only method among those compared here (ordinary ANOVA, Sobol' first-order indices)...</w:t>
      </w:r>
    </w:p>
    <w:p w14:paraId="6C38D849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90" w:beforeAutospacing="0" w:after="0" w:afterAutospacing="0" w:line="420" w:lineRule="atLeast"/>
        <w:ind w:left="1320" w:right="1320" w:hanging="360"/>
      </w:pPr>
    </w:p>
    <w:p w14:paraId="5F54CCC4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90" w:beforeAutospacing="0" w:after="0" w:afterAutospacing="0" w:line="420" w:lineRule="atLeast"/>
        <w:ind w:left="1320" w:right="1320" w:hanging="360"/>
      </w:pPr>
    </w:p>
    <w:p w14:paraId="5ADA6BE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：之前我建议您将声明限定在“compared here”。您已经在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sec:constraints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中添加了“censoring-aware extensions ... were not benchmarked”的承认，非常好。这里无需再改动，前后已一致。</w:t>
      </w:r>
    </w:p>
    <w:p w14:paraId="1B553173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90" w:beforeAutospacing="0" w:after="0" w:afterAutospacing="0" w:line="420" w:lineRule="atLeast"/>
        <w:ind w:left="1320" w:right="1320" w:hanging="360"/>
      </w:pPr>
    </w:p>
    <w:p w14:paraId="57933A3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1AF9EEFC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确认一个潜在笔误（一致性）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4ABD811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3BF703D8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0" w:after="0" w:afterAutospacing="0" w:line="420" w:lineRule="atLeast"/>
        <w:ind w:left="1320" w:right="1320" w:hanging="360"/>
      </w:pPr>
    </w:p>
    <w:p w14:paraId="3186F89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sec:stress_concentration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中描述 Fig. S1 的句子。</w:t>
      </w:r>
    </w:p>
    <w:p w14:paraId="51DC24B7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0" w:after="0" w:afterAutospacing="0" w:line="420" w:lineRule="atLeast"/>
        <w:ind w:left="1320" w:right="1320" w:hanging="360"/>
      </w:pPr>
    </w:p>
    <w:p w14:paraId="65E56261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90" w:beforeAutospacing="0" w:after="0" w:afterAutospacing="0" w:line="420" w:lineRule="atLeast"/>
        <w:ind w:left="1320" w:right="1320" w:hanging="360"/>
      </w:pPr>
    </w:p>
    <w:p w14:paraId="04E8677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... shows the standard-choice share varying from 38.8% to 55.3% as the $Y_{Sa}$ baseline applied to AGMA/FKM entries spans 1.16--2.06...</w:t>
      </w:r>
    </w:p>
    <w:p w14:paraId="4651DAD6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90" w:beforeAutospacing="0" w:after="0" w:afterAutospacing="0" w:line="420" w:lineRule="atLeast"/>
        <w:ind w:left="1320" w:right="1320" w:hanging="360"/>
      </w:pPr>
    </w:p>
    <w:p w14:paraId="09D4A73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90" w:beforeAutospacing="0" w:after="0" w:afterAutospacing="0" w:line="420" w:lineRule="atLeast"/>
        <w:ind w:left="1320" w:right="1320" w:hanging="360"/>
      </w:pPr>
    </w:p>
    <w:p w14:paraId="37DD115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：逻辑上，随着作为乘数的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YSa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Y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Sa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从 1.16 增加到 2.06，标准引起的差异（share）应该会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增大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，而不是从较高的 55.3% 降到 38.8%。这里的描述（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from 38.8% to 55.3%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）与括号内的范围（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1.16--2.06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）方向可能存在笔误。</w:t>
      </w:r>
    </w:p>
    <w:p w14:paraId="20B995F4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90" w:beforeAutospacing="0" w:after="0" w:afterAutospacing="0" w:line="420" w:lineRule="atLeast"/>
        <w:ind w:left="1320" w:right="1320" w:hanging="360"/>
      </w:pPr>
    </w:p>
    <w:p w14:paraId="36BDF8EC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90" w:beforeAutospacing="0" w:after="0" w:afterAutospacing="0" w:line="420" w:lineRule="atLeast"/>
        <w:ind w:left="1320" w:right="1320" w:hanging="360"/>
      </w:pPr>
    </w:p>
    <w:p w14:paraId="7CD43B4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请检查您的源数据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：应该是当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YSa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Y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Sa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从 1.16 增加到 2.06 时，方差份额从 38.8% 增加到 55.3%。请将原文修正为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... varies from 38.8% to 55.3% as the $Y_{Sa}$ baseline ... spans 2.06 to 1.16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或类似的正确表述，以确保逻辑通顺。</w:t>
      </w:r>
    </w:p>
    <w:p w14:paraId="3FB6D7DB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90" w:beforeAutospacing="0" w:after="0" w:afterAutospacing="0" w:line="420" w:lineRule="atLeast"/>
        <w:ind w:left="1320" w:right="1320" w:hanging="360"/>
      </w:pPr>
    </w:p>
    <w:p w14:paraId="2E761C4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69D089A1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表格的美观性（小细节）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0BAD1AE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473E1449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0" w:after="0" w:afterAutospacing="0" w:line="420" w:lineRule="atLeast"/>
        <w:ind w:left="1320" w:right="1320" w:hanging="360"/>
      </w:pPr>
    </w:p>
    <w:p w14:paraId="7F501ED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tab:aft_vs_anova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和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tab:risk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使用了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table*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环境，这通常用于双栏排版中的跨栏宽表。在您的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.tex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文件中，这没有问题。</w:t>
      </w:r>
    </w:p>
    <w:p w14:paraId="15346DC9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0" w:after="0" w:afterAutospacing="0" w:line="420" w:lineRule="atLeast"/>
        <w:ind w:left="1320" w:right="1320" w:hanging="360"/>
      </w:pPr>
    </w:p>
    <w:p w14:paraId="3F5E4087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90" w:beforeAutospacing="0" w:after="0" w:afterAutospacing="0" w:line="420" w:lineRule="atLeast"/>
        <w:ind w:left="1320" w:right="1320" w:hanging="360"/>
      </w:pPr>
    </w:p>
    <w:p w14:paraId="7BB4432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：在最终校对 PDF 时，请确保这两个表格的排版宽度合适，没有因为过宽而溢出到页边距外。如果溢出，可以考虑进一步缩小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\footnotesize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或调整列宽。</w:t>
      </w:r>
    </w:p>
    <w:p w14:paraId="2AD02A4C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90" w:beforeAutospacing="0" w:after="0" w:afterAutospacing="0" w:line="420" w:lineRule="atLeast"/>
        <w:ind w:left="1320" w:right="1320" w:hanging="360"/>
      </w:pPr>
    </w:p>
    <w:p w14:paraId="55445B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420" w:lineRule="atLeast"/>
        <w:ind w:left="660" w:right="66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AA40ED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最终审稿意见</w:t>
      </w:r>
    </w:p>
    <w:p w14:paraId="18611583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再次恭喜作者团队。v5.3 版本展现出的改进是显著且令人满意的。论文的核心贡献——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一个用于量化齿轮疲劳中方法诱导不确定性的可重复、因子水平无关的统计框架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——现在被清晰地、诚实地呈现出来。所有的前提假设、局限性和条件性结论都得到了充分的讨论。</w:t>
      </w:r>
    </w:p>
    <w:p w14:paraId="322AD171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最终决定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建议小修后接受 (Accept with Minor Revisions)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7807D25A">
      <w:pPr>
        <w:pStyle w:val="5"/>
        <w:keepNext w:val="0"/>
        <w:keepLines w:val="0"/>
        <w:widowControl/>
        <w:suppressLineNumbers w:val="0"/>
        <w:spacing w:before="24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请在修改时关注上述关于 Fig. S1 描述（第 2 点）的潜在笔误，并进行确认和修正。完成这最后一步后，我认为这篇论文将完全达到 JMST 的发表标准。</w:t>
      </w:r>
    </w:p>
    <w:p w14:paraId="24303E5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E49EFD"/>
    <w:multiLevelType w:val="multilevel"/>
    <w:tmpl w:val="83E49E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621EDA7"/>
    <w:multiLevelType w:val="multilevel"/>
    <w:tmpl w:val="8621ED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BB265FA"/>
    <w:multiLevelType w:val="multilevel"/>
    <w:tmpl w:val="CBB265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BEE3C74"/>
    <w:multiLevelType w:val="multilevel"/>
    <w:tmpl w:val="DBEE3C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1902A286"/>
    <w:multiLevelType w:val="multilevel"/>
    <w:tmpl w:val="1902A2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D537B90"/>
    <w:multiLevelType w:val="multilevel"/>
    <w:tmpl w:val="2D537B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43E4B9C2"/>
    <w:multiLevelType w:val="multilevel"/>
    <w:tmpl w:val="43E4B9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6B2C4F"/>
    <w:rsid w:val="636B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2026-08-08T02:44:00Z</dcterms:created>
  <dc:creator>陈智磊</dc:creator>
  <cp:lastModifiedBy>陈智磊</cp:lastModifiedBy>
  <dcterms:modified xsi:type="dcterms:W3CDTF">2026-08-08T02:46:05Z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1ED3E350BC89417DAEE715FF4B1E1AE7_11</vt:lpwstr>
  </property>
  <property fmtid="{D5CDD505-2E9C-101B-9397-08002B2CF9AE}" pid="4" name="KSOTemplateDocerSaveRecord">
    <vt:lpwstr>eyJoZGlkIjoiM2QxMzQ1NmNiYWQ2ZWEyN2EzYjg0OTM4M2FmNjM4MDEiLCJ1c2VySWQiOiIxNzQ0NDIwODU5In0=</vt:lpwstr>
  </property>
</Properties>
</file>