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A32422">
      <w:pPr>
        <w:pStyle w:val="5"/>
        <w:keepNext w:val="0"/>
        <w:keepLines w:val="0"/>
        <w:widowControl/>
        <w:suppressLineNumbers w:val="0"/>
      </w:pPr>
      <w:r>
        <w:t>如何进一步提高论文的质量和影响力？</w:t>
      </w:r>
    </w:p>
    <w:p w14:paraId="16A5F917">
      <w:pPr>
        <w:pStyle w:val="2"/>
        <w:keepNext w:val="0"/>
        <w:keepLines w:val="0"/>
        <w:widowControl/>
        <w:suppressLineNumbers w:val="0"/>
      </w:pPr>
      <w:r>
        <w:t>提升该齿轮疲劳不确定性论文质量与学术 / 工程影响力的完整方案</w:t>
      </w:r>
    </w:p>
    <w:p w14:paraId="7467BB5C">
      <w:pPr>
        <w:pStyle w:val="5"/>
        <w:keepNext w:val="0"/>
        <w:keepLines w:val="0"/>
        <w:widowControl/>
        <w:suppressLineNumbers w:val="0"/>
      </w:pPr>
      <w:r>
        <w:t>结合前文审稿人指出的矛盾、缺陷、短板，分</w:t>
      </w:r>
      <w:r>
        <w:rPr>
          <w:rStyle w:val="8"/>
        </w:rPr>
        <w:t>学术质量深度优化</w:t>
      </w:r>
      <w:r>
        <w:t>、</w:t>
      </w:r>
      <w:r>
        <w:rPr>
          <w:rStyle w:val="8"/>
        </w:rPr>
        <w:t>统计与试验闭环补强</w:t>
      </w:r>
      <w:r>
        <w:t>、</w:t>
      </w:r>
      <w:r>
        <w:rPr>
          <w:rStyle w:val="8"/>
        </w:rPr>
        <w:t>叙事与表达升级</w:t>
      </w:r>
      <w:r>
        <w:t>、</w:t>
      </w:r>
      <w:r>
        <w:rPr>
          <w:rStyle w:val="8"/>
        </w:rPr>
        <w:t>学术影响力拓展</w:t>
      </w:r>
      <w:r>
        <w:t>、</w:t>
      </w:r>
      <w:r>
        <w:rPr>
          <w:rStyle w:val="8"/>
        </w:rPr>
        <w:t>工业落地传播</w:t>
      </w:r>
      <w:r>
        <w:t>五大模块给出可落地措施，兼顾返修达标、提升期刊档次、扩大行业引用。</w:t>
      </w:r>
    </w:p>
    <w:p w14:paraId="100CF4FF">
      <w:pPr>
        <w:pStyle w:val="3"/>
        <w:keepNext w:val="0"/>
        <w:keepLines w:val="0"/>
        <w:widowControl/>
        <w:suppressLineNumbers w:val="0"/>
      </w:pPr>
      <w:r>
        <w:t>一、根治核心学术缺陷，消除审稿致命质疑（优先完成，直接决定录用与可信度）</w:t>
      </w:r>
    </w:p>
    <w:p w14:paraId="3674CE26">
      <w:pPr>
        <w:pStyle w:val="4"/>
        <w:keepNext w:val="0"/>
        <w:keepLines w:val="0"/>
        <w:widowControl/>
        <w:suppressLineNumbers w:val="0"/>
      </w:pPr>
      <w:r>
        <w:t>1. 修正三套标准不对称应力计算缺陷（最核心改进）</w:t>
      </w:r>
    </w:p>
    <w:p w14:paraId="3877FB65">
      <w:pPr>
        <w:pStyle w:val="5"/>
        <w:keepNext w:val="0"/>
        <w:keepLines w:val="0"/>
        <w:widowControl/>
        <w:suppressLineNumbers w:val="0"/>
      </w:pPr>
      <w:r>
        <w:t>原文强制全部标准套用 ISO \(Y_{Sa}\)，篡改 AGMA/FKM 原生计算逻辑，方差占比失真，是最大硬伤。 1）设计两套对照仿真方案，形成对比数据集：</w:t>
      </w:r>
    </w:p>
    <w:p w14:paraId="2FF981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基准方案 1（行业真实工况）</w:t>
      </w:r>
      <w:r>
        <w:t>：三套标准完全遵循原生完整公式，ISO 用\(Y_{Sa}\)、AGMA 用自身齿根应力 / 缺口系数、FKM 使用自带\(K_{F\sigma}\)缺口修正，无统一强制系数，还原工程师真实计算流程；</w:t>
      </w:r>
    </w:p>
    <w:p w14:paraId="34E7AE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基准方案 2（原文现有方案）</w:t>
      </w:r>
      <w:r>
        <w:t>：统一\(Y_{Sa}\)的旧仿真结果； 2）定量对比两套方案下 5 个因子方差占比、寿命区间、交互项差异，量化人为假设带来的系统偏移（例如标准选择 30.1% 的真实偏差幅度）； 3）在方法、结果、讨论中单独开辟小节，专门分析 “应力集中统一假设” 对不确定性分解结果的扰动，明确原文结论的修正边界，彻底解决审稿逻辑矛盾。</w:t>
      </w:r>
    </w:p>
    <w:p w14:paraId="402AF2EA">
      <w:pPr>
        <w:pStyle w:val="4"/>
        <w:keepNext w:val="0"/>
        <w:keepLines w:val="0"/>
        <w:widowControl/>
        <w:suppressLineNumbers w:val="0"/>
      </w:pPr>
      <w:r>
        <w:t>2. 补齐多工况定量敏感性，杜绝结论过度泛化</w:t>
      </w:r>
    </w:p>
    <w:p w14:paraId="3D3AF172">
      <w:pPr>
        <w:pStyle w:val="5"/>
        <w:keepNext w:val="0"/>
        <w:keepLines w:val="0"/>
        <w:widowControl/>
        <w:suppressLineNumbers w:val="0"/>
      </w:pPr>
      <w:r>
        <w:t>原文仅 700 N・m 扭矩有完整 AFT 结果，低扭矩只用普通 ANOVA，说服力不足： 1）对 500/600/700 N・m 三个扭矩全部采用</w:t>
      </w:r>
      <w:r>
        <w:rPr>
          <w:rStyle w:val="8"/>
        </w:rPr>
        <w:t>带截尾似然的 AFT 模型</w:t>
      </w:r>
      <w:r>
        <w:t>统一计算，输出完整方差分解表；绘制「应力水平 — 各因子方差占比」变化曲线，直观展示载荷如何切换主导误差源； 2）新增两类关键敏感性仿真，拓宽结论适用边界：</w:t>
      </w:r>
    </w:p>
    <w:p w14:paraId="360EFE2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渗碳齿轮工况：引入齿面残余压应力，降低有效应力比R，量化平均应力修正贡献下降幅度；</w:t>
      </w:r>
    </w:p>
    <w:p w14:paraId="3AA262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变幅值载荷谱：补充随机变载算例，重新评估 Miner / 修正 Miner 损伤规则的方差贡献（解决恒载下损伤规则影响可忽略、变载不可忽略的逻辑漏洞）； 3）摘要、结论、图表标题强制标注适用条件，区分「调质钢恒幅脉动 R=0 高应力」与其他工况的差异，消除读者误读。</w:t>
      </w:r>
    </w:p>
    <w:p w14:paraId="348992E6">
      <w:pPr>
        <w:pStyle w:val="4"/>
        <w:keepNext w:val="0"/>
        <w:keepLines w:val="0"/>
        <w:widowControl/>
        <w:suppressLineNumbers w:val="0"/>
      </w:pPr>
      <w:r>
        <w:t>3. 统一计算规则，消除变量不对称偏差</w:t>
      </w:r>
    </w:p>
    <w:p w14:paraId="7E4FBA92">
      <w:pPr>
        <w:pStyle w:val="5"/>
        <w:keepNext w:val="0"/>
        <w:keepLines w:val="0"/>
        <w:widowControl/>
        <w:suppressLineNumbers w:val="0"/>
      </w:pPr>
      <w:r>
        <w:t>1）粗糙度参数换算修正：</w:t>
      </w:r>
    </w:p>
    <w:p w14:paraId="26DF4F0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定量评估\(R_a≈R_z/6\)简化换算带来的寿命预测误差，将换算误差纳入不确定性分析；</w:t>
      </w:r>
    </w:p>
    <w:p w14:paraId="6CB6A48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针对 ISO \(R_z=40\ \mu m\)截断规则，增设一组不截断外推对照，量化 ISO 在粗加工表面下交互项被低估的程度； 2）S-N 曲线因子拆分：把 “数据库批次材料离散性” 和 “Basquin 拟合方法差异” 拆分为两个独立变量，区分材料固有波动与方法诱导不确定性，让方差分解物理含义更清晰； 3）厘清 4 种平均应力模型适用边界：在遍历计算基础上，新增 “模型理论适用域筛选对比”，区分「模型本身固有偏差」和「工程师错误选用模型」两类误差来源。</w:t>
      </w:r>
    </w:p>
    <w:p w14:paraId="68DFA8C2">
      <w:pPr>
        <w:pStyle w:val="3"/>
        <w:keepNext w:val="0"/>
        <w:keepLines w:val="0"/>
        <w:widowControl/>
        <w:suppressLineNumbers w:val="0"/>
      </w:pPr>
      <w:r>
        <w:t>二、完善统计框架，提升方法学严谨度（拔高论文方法创新度，更容易发高分期刊）</w:t>
      </w:r>
    </w:p>
    <w:p w14:paraId="1FA8518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补全模型诊断证据，增强统计可信度</w:t>
      </w:r>
      <w:r>
        <w:t xml:space="preserve"> 正文嵌入 AFT 模型全套检验结果：对数寿命 Q-Q 正态图、Levene 方差齐性检验、截尾无信息假设验证；补充 Bootstrap 信噪比\(S/N=3\)阈值对应的统计置信水平、文献支撑依据，避免自定义判据无来源。</w:t>
      </w:r>
    </w:p>
    <w:p w14:paraId="03EC3AE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拓展方差分解方法，形成方法学创新点</w:t>
      </w:r>
      <w:r>
        <w:t xml:space="preserve"> 在现有 AFT 方差分解基础上，增加 2 种主流不确定性量化方法对照： </w:t>
      </w:r>
    </w:p>
    <w:p w14:paraId="134A8858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经典全因子 ANOVA（剔除 run-out）；</w:t>
      </w:r>
    </w:p>
    <w:p w14:paraId="6093DD4D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Sobol 全局灵敏度分析； 横向对比三种方法的因子排序差异，论证</w:t>
      </w:r>
      <w:r>
        <w:rPr>
          <w:rStyle w:val="8"/>
        </w:rPr>
        <w:t>截尾 AFT 模型是齿轮疲劳寿命不确定性量化的最优方案</w:t>
      </w:r>
      <w:r>
        <w:t>，把论文从 “工程算例” 升级为 “方法学对比研究”，大幅提升学术价值。</w:t>
      </w:r>
    </w:p>
    <w:p w14:paraId="0219931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强化可复现性（高分期刊硬性要求）</w:t>
      </w:r>
      <w:r>
        <w:t xml:space="preserve"> 附录完整开源材料： </w:t>
      </w:r>
    </w:p>
    <w:p w14:paraId="65070AF3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144 组全因子计算输入参数、输出寿命数据表；</w:t>
      </w:r>
    </w:p>
    <w:p w14:paraId="4DE68B6B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Python/R 全套 AFT、Bootstrap 方差分解代码；</w:t>
      </w:r>
    </w:p>
    <w:p w14:paraId="1F5B04EB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ISO/AGMA/FKM 标准化计算公式完整汇总表； 同步上传数据集至 Figshare、Zenodo 等公开数据库，论文标注数据集 DOI，显著提升引用与认可度。</w:t>
      </w:r>
    </w:p>
    <w:p w14:paraId="49346B5A">
      <w:pPr>
        <w:pStyle w:val="3"/>
        <w:keepNext w:val="0"/>
        <w:keepLines w:val="0"/>
        <w:widowControl/>
        <w:suppressLineNumbers w:val="0"/>
      </w:pPr>
      <w:r>
        <w:t>三、补充试验验证，消除 “纯数值仿真” 短板（大幅提升工程说服力）</w:t>
      </w:r>
    </w:p>
    <w:p w14:paraId="3AFEBAB6">
      <w:pPr>
        <w:pStyle w:val="5"/>
        <w:keepNext w:val="0"/>
        <w:keepLines w:val="0"/>
        <w:widowControl/>
        <w:suppressLineNumbers w:val="0"/>
      </w:pPr>
      <w:r>
        <w:t>当前仅为数值仿真，缺少实测对标，是影响力天花板关键限制。分两档落地：</w:t>
      </w:r>
    </w:p>
    <w:p w14:paraId="5C04E785">
      <w:pPr>
        <w:pStyle w:val="4"/>
        <w:keepNext w:val="0"/>
        <w:keepLines w:val="0"/>
        <w:widowControl/>
        <w:suppressLineNumbers w:val="0"/>
      </w:pPr>
      <w:r>
        <w:t>短期低成本方案（返修阶段即可完成）</w:t>
      </w:r>
    </w:p>
    <w:p w14:paraId="3A6A8C98">
      <w:pPr>
        <w:pStyle w:val="5"/>
        <w:keepNext w:val="0"/>
        <w:keepLines w:val="0"/>
        <w:widowControl/>
        <w:suppressLineNumbers w:val="0"/>
      </w:pPr>
      <w:r>
        <w:t>复用已有文献公开齿轮疲劳试验数据（Wang、Bonaiti、Pagliari 等），用本文提出的 5 类方法流程复现文献试验，对比： 1）不同标准 / 平均应力修正方法预测寿命与实测寿命的误差； 2）定量证明 “方法选择带来的预测偏差，量级接近甚至超过材料本身试验离散性”； 形成 “数值仿真 + 公开试验对标” 双重支撑，不再是纯理论计算。</w:t>
      </w:r>
    </w:p>
    <w:p w14:paraId="3F1EF97D">
      <w:pPr>
        <w:pStyle w:val="4"/>
        <w:keepNext w:val="0"/>
        <w:keepLines w:val="0"/>
        <w:widowControl/>
        <w:suppressLineNumbers w:val="0"/>
      </w:pPr>
      <w:r>
        <w:t>长期高阶方案（冲击 Top 机械 / 传动期刊）</w:t>
      </w:r>
    </w:p>
    <w:p w14:paraId="623F79B8">
      <w:pPr>
        <w:pStyle w:val="5"/>
        <w:keepNext w:val="0"/>
        <w:keepLines w:val="0"/>
        <w:widowControl/>
        <w:suppressLineNumbers w:val="0"/>
      </w:pPr>
      <w:r>
        <w:t>开展小批量齿轮单齿弯曲疲劳 STB 试验： 1）加工模数 3、20 齿 42CrMo4 试样，制备\(R_z=4/15/50\ \mu m\)三种表面粗糙度； 2）开展脉动循环 R=0 疲劳试验，记录有限寿命与 run-out； 3）用本文 5 维度方法体系计算预测寿命，对比实测值，量化各类方法选择的预测精度偏差； 形成</w:t>
      </w:r>
      <w:r>
        <w:rPr>
          <w:rStyle w:val="8"/>
        </w:rPr>
        <w:t>数值仿真 + 自主试验</w:t>
      </w:r>
      <w:r>
        <w:t>完整闭环，直接达到机械领域顶刊标准。</w:t>
      </w:r>
    </w:p>
    <w:p w14:paraId="61EA836F">
      <w:pPr>
        <w:pStyle w:val="3"/>
        <w:keepNext w:val="0"/>
        <w:keepLines w:val="0"/>
        <w:widowControl/>
        <w:suppressLineNumbers w:val="0"/>
      </w:pPr>
      <w:r>
        <w:t>四、优化论文叙事、图表与结构，提升可读性与传播力</w:t>
      </w:r>
    </w:p>
    <w:p w14:paraId="7E6D829B">
      <w:pPr>
        <w:pStyle w:val="4"/>
        <w:keepNext w:val="0"/>
        <w:keepLines w:val="0"/>
        <w:widowControl/>
        <w:suppressLineNumbers w:val="0"/>
      </w:pPr>
      <w:r>
        <w:t>1. 重构标题、摘要、结论，精准定位创新</w:t>
      </w:r>
    </w:p>
    <w:p w14:paraId="3A16E1F1">
      <w:pPr>
        <w:pStyle w:val="5"/>
        <w:keepNext w:val="0"/>
        <w:keepLines w:val="0"/>
        <w:widowControl/>
        <w:suppressLineNumbers w:val="0"/>
      </w:pPr>
      <w:r>
        <w:t>1）原标题缺少 “数值仿真”，易误导读者；优化示例：</w:t>
      </w:r>
    </w:p>
    <w:p w14:paraId="1C21C53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Method-Induced Uncertainty in Gear Bending Fatigue: Full Factorial AFT Variance Decomposition Based on Numerical Simulation of Through-Hardened 42CrMo4 Spur Gears 2）摘要分层：先点明行业痛点（同齿轮寿命预测差 5 个数量级）→ 现有研究缺陷（单维度对比、忽略截尾样本）→ 本文方法创新（五因子全因子截尾 AFT 分解）→ 核心定量结果（三大主导因子合计 88.6% 方差）→ 工程指导价值； 3）结论分三层：①定量核心结果 ②方法学结论（AFT 优于传统 ANOVA）③工业设计规范建议 ④研究局限与未来工作，严格区分 “本工况结论” 和 “通用工程建议”。</w:t>
      </w:r>
    </w:p>
    <w:p w14:paraId="688CDDAC">
      <w:pPr>
        <w:pStyle w:val="4"/>
        <w:keepNext w:val="0"/>
        <w:keepLines w:val="0"/>
        <w:widowControl/>
        <w:suppressLineNumbers w:val="0"/>
      </w:pPr>
      <w:r>
        <w:t>2. 重绘图表，统一数值、强化可视化逻辑</w:t>
      </w:r>
    </w:p>
    <w:p w14:paraId="0E1983D6">
      <w:pPr>
        <w:pStyle w:val="5"/>
        <w:keepNext w:val="0"/>
        <w:keepLines w:val="0"/>
        <w:widowControl/>
        <w:suppressLineNumbers w:val="0"/>
      </w:pPr>
      <w:r>
        <w:t>1）解决正文与 Bootstrap 图数值不一致问题：在图注清晰区分「单次全模型拟合方差占比（表 2）」与「2000 次 Bootstrap 均值（图 2）」，补充两组数据差值说明； 2）新增系列工程导向图表：</w:t>
      </w:r>
    </w:p>
    <w:p w14:paraId="3D918DE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载荷 - 因子权重变化曲线；</w:t>
      </w:r>
    </w:p>
    <w:p w14:paraId="520B9D9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不同标准 + 粗糙度组合寿命对比热力图；</w:t>
      </w:r>
    </w:p>
    <w:p w14:paraId="532FA10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四种平均应力模型等效应力偏差对比柱状图； 3）统一图表配色、标注规范，所有图注补充物理意义、工况边界、样本数量，降低行业工程师阅读门槛。</w:t>
      </w:r>
    </w:p>
    <w:p w14:paraId="1A287995">
      <w:pPr>
        <w:pStyle w:val="4"/>
        <w:keepNext w:val="0"/>
        <w:keepLines w:val="0"/>
        <w:widowControl/>
        <w:suppressLineNumbers w:val="0"/>
      </w:pPr>
      <w:r>
        <w:t>3. 深化讨论章节，拔高理论深度</w:t>
      </w:r>
    </w:p>
    <w:p w14:paraId="0BDB4724">
      <w:pPr>
        <w:pStyle w:val="5"/>
        <w:keepNext w:val="0"/>
        <w:keepLines w:val="0"/>
        <w:widowControl/>
        <w:suppressLineNumbers w:val="0"/>
      </w:pPr>
      <w:r>
        <w:t>1）对比现有文献时，明确区分两类研究：</w:t>
      </w:r>
    </w:p>
    <w:p w14:paraId="68A9CAC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单一标准对比类（Bonaiti 等）；</w:t>
      </w:r>
    </w:p>
    <w:p w14:paraId="5520E3A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本文多维度全局不确定性分解； 清晰论述本文的增量贡献，避免审稿人认为 “研究重复”； 2）新增标准化委员会层面讨论：针对 ISO/AGMA/FKM 公式差异，提出统一齿轮疲劳计算的标准化改进建议，拔高研究行业价值； 3）系统梳理全部研究局限性，逐条给出未来研究方向（渗碳齿轮、变载荷、FE 应力梯度耦合、多材料拓展等），体现研究延展性。</w:t>
      </w:r>
    </w:p>
    <w:p w14:paraId="04979C15">
      <w:pPr>
        <w:pStyle w:val="3"/>
        <w:keepNext w:val="0"/>
        <w:keepLines w:val="0"/>
        <w:widowControl/>
        <w:suppressLineNumbers w:val="0"/>
      </w:pPr>
      <w:r>
        <w:t>五、提升学术影响力：引用、传播、行业落地策略</w:t>
      </w:r>
    </w:p>
    <w:p w14:paraId="6501B99A">
      <w:pPr>
        <w:pStyle w:val="4"/>
        <w:keepNext w:val="0"/>
        <w:keepLines w:val="0"/>
        <w:widowControl/>
        <w:suppressLineNumbers w:val="0"/>
      </w:pPr>
      <w:r>
        <w:t>1. 学术层面：提高期刊定位、增加同行引用</w:t>
      </w:r>
    </w:p>
    <w:p w14:paraId="53AFE9FF">
      <w:pPr>
        <w:pStyle w:val="5"/>
        <w:keepNext w:val="0"/>
        <w:keepLines w:val="0"/>
        <w:widowControl/>
        <w:suppressLineNumbers w:val="0"/>
      </w:pPr>
      <w:r>
        <w:t>1）目标期刊升级：完成试验对标、方法拓展后，可从普通工程期刊投递至传动 / 疲劳领域 Top 期刊（</w:t>
      </w:r>
      <w:r>
        <w:rPr>
          <w:rStyle w:val="9"/>
        </w:rPr>
        <w:t>International Journal of Fatigue</w:t>
      </w:r>
      <w:r>
        <w:t>、</w:t>
      </w:r>
      <w:r>
        <w:rPr>
          <w:rStyle w:val="9"/>
        </w:rPr>
        <w:t>Mechanism and Machine Theory</w:t>
      </w:r>
      <w:r>
        <w:t>、</w:t>
      </w:r>
      <w:r>
        <w:rPr>
          <w:rStyle w:val="9"/>
        </w:rPr>
        <w:t>Engineering Failure Analysis</w:t>
      </w:r>
      <w:r>
        <w:t>）； 2）细分研究标签，扩大检索曝光：关键词补充</w:t>
      </w:r>
      <w:r>
        <w:rPr>
          <w:rStyle w:val="8"/>
        </w:rPr>
        <w:t>不确定性量化、全局灵敏度、加速失效时间模型、齿轮标准对比</w:t>
      </w:r>
      <w:r>
        <w:t>，覆盖计算力学、机械传动、疲劳可靠性三类检索人群； 3）主动关联前沿文献：补充近 3 年齿轮疲劳不确定性、S-N 曲线修正、截尾数据统计方法最新成果，提升文献综述完整度，增加同行引用概率。</w:t>
      </w:r>
    </w:p>
    <w:p w14:paraId="349CCA83">
      <w:pPr>
        <w:pStyle w:val="4"/>
        <w:keepNext w:val="0"/>
        <w:keepLines w:val="0"/>
        <w:widowControl/>
        <w:suppressLineNumbers w:val="0"/>
      </w:pPr>
      <w:r>
        <w:t>2. 工程行业层面：打通工业落地，扩大产业影响力</w:t>
      </w:r>
    </w:p>
    <w:p w14:paraId="655C956D">
      <w:pPr>
        <w:pStyle w:val="5"/>
        <w:keepNext w:val="0"/>
        <w:keepLines w:val="0"/>
        <w:widowControl/>
        <w:suppressLineNumbers w:val="0"/>
      </w:pPr>
      <w:r>
        <w:t>1）提炼工业设计指导性工具（论文附加实用附表）：</w:t>
      </w:r>
    </w:p>
    <w:p w14:paraId="36E5BEC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齿轮疲劳计算不确定性预算表；</w:t>
      </w:r>
    </w:p>
    <w:p w14:paraId="18A0E8A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不同工况下推荐选用的标准 + 平均应力修正组合（保守 / 经济设计方案）； 企业工程师可直接套用，大幅提升论文产业传播度； 2）面向行业会议宣讲：将本文成果整理为会议报告，在齿轮传动、机械可靠性学术会议分享，同步发布科普版技术简报给变速箱、工程机械企业； 3）开源工具配套：基于论文代码封装轻量化齿轮疲劳计算小程序，免费开放给行业工程师，形成论文 + 工具联动传播，持续积累引用。</w:t>
      </w:r>
    </w:p>
    <w:p w14:paraId="4730B39C">
      <w:pPr>
        <w:pStyle w:val="4"/>
        <w:keepNext w:val="0"/>
        <w:keepLines w:val="0"/>
        <w:widowControl/>
        <w:suppressLineNumbers w:val="0"/>
      </w:pPr>
      <w:r>
        <w:t>3. 拓展研究延展性，形成系列成果</w:t>
      </w:r>
    </w:p>
    <w:p w14:paraId="1859ED91">
      <w:pPr>
        <w:pStyle w:val="5"/>
        <w:keepNext w:val="0"/>
        <w:keepLines w:val="0"/>
        <w:widowControl/>
        <w:suppressLineNumbers w:val="0"/>
      </w:pPr>
      <w:r>
        <w:t>1）系列论文规划：</w:t>
      </w:r>
    </w:p>
    <w:p w14:paraId="79094E9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第 1 篇（当前返修稿）：调质钢恒幅载荷五因子不确定性分解（基础方法）；</w:t>
      </w:r>
    </w:p>
    <w:p w14:paraId="603B4EF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第 2 篇：渗碳淬火齿轮含残余应力工况拓展；</w:t>
      </w:r>
    </w:p>
    <w:p w14:paraId="1970E5B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第 3 篇：变幅值载荷谱下损伤规则不确定性量化；</w:t>
      </w:r>
    </w:p>
    <w:p w14:paraId="0CEDC3D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第 4 篇：耦合有限元齿根应力梯度的多尺度不确定性分析； 2）交叉学科延伸：将本文全因子 AFT 方差分解框架迁移至轴承、轴类零件疲劳预测，形成一套通用机械零部件疲劳不确定性量化方法论，构建完整研究体系，长期提升学术影响力。</w:t>
      </w:r>
    </w:p>
    <w:p w14:paraId="54D5159E">
      <w:pPr>
        <w:pStyle w:val="3"/>
        <w:keepNext w:val="0"/>
        <w:keepLines w:val="0"/>
        <w:widowControl/>
        <w:suppressLineNumbers w:val="0"/>
      </w:pPr>
      <w:r>
        <w:t>六、短期（返修阶段）/ 长期（投稿后）改进行动清单</w:t>
      </w:r>
    </w:p>
    <w:p w14:paraId="06D4EBD3">
      <w:pPr>
        <w:pStyle w:val="4"/>
        <w:keepNext w:val="0"/>
        <w:keepLines w:val="0"/>
        <w:widowControl/>
        <w:suppressLineNumbers w:val="0"/>
      </w:pPr>
      <w:r>
        <w:t>短期（1–2 个月返修必做）</w:t>
      </w:r>
    </w:p>
    <w:p w14:paraId="78EBF32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两套应力计算方案对照仿真，量化统一\(Y_{Sa}\)带来的系统偏差；</w:t>
      </w:r>
    </w:p>
    <w:p w14:paraId="0D6F505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全部扭矩工况统一采用 AFT 截尾模型重算方差分解；</w:t>
      </w:r>
    </w:p>
    <w:p w14:paraId="67DDBE5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补充公开文献试验对标，证明方法预测偏差量级；</w:t>
      </w:r>
    </w:p>
    <w:p w14:paraId="7373046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完善附录代码、数据集，统一图表数值注释；</w:t>
      </w:r>
    </w:p>
    <w:p w14:paraId="2E08CB6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修正全文结论泛化问题，明确所有结果工况边界。</w:t>
      </w:r>
    </w:p>
    <w:p w14:paraId="53170D5D">
      <w:pPr>
        <w:pStyle w:val="4"/>
        <w:keepNext w:val="0"/>
        <w:keepLines w:val="0"/>
        <w:widowControl/>
        <w:suppressLineNumbers w:val="0"/>
      </w:pPr>
      <w:r>
        <w:t>长期（录用后提升影响力）</w:t>
      </w:r>
    </w:p>
    <w:p w14:paraId="14BB9E1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开展自主齿轮疲劳试验，形成仿真 + 实测闭环；</w:t>
      </w:r>
    </w:p>
    <w:p w14:paraId="29491F7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开发开源齿轮疲劳计算工具并公开数据集；</w:t>
      </w:r>
    </w:p>
    <w:p w14:paraId="1E533C2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投递行业会议、撰写产业技术简报；</w:t>
      </w:r>
    </w:p>
    <w:p w14:paraId="2128DB4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开展系列拓展研究，形成成套学术成果。</w:t>
      </w:r>
    </w:p>
    <w:p w14:paraId="43391BC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3D6DC1"/>
    <w:multiLevelType w:val="multilevel"/>
    <w:tmpl w:val="903D6D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15057DF"/>
    <w:multiLevelType w:val="multilevel"/>
    <w:tmpl w:val="C15057D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DFD40AD"/>
    <w:multiLevelType w:val="multilevel"/>
    <w:tmpl w:val="DDFD40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E0716676"/>
    <w:multiLevelType w:val="multilevel"/>
    <w:tmpl w:val="E07166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009CA31C"/>
    <w:multiLevelType w:val="multilevel"/>
    <w:tmpl w:val="009CA3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3C9EC5AA"/>
    <w:multiLevelType w:val="multilevel"/>
    <w:tmpl w:val="3C9EC5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41798691"/>
    <w:multiLevelType w:val="multilevel"/>
    <w:tmpl w:val="417986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46788D43"/>
    <w:multiLevelType w:val="multilevel"/>
    <w:tmpl w:val="46788D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7727DB0E"/>
    <w:multiLevelType w:val="multilevel"/>
    <w:tmpl w:val="7727DB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773EA2BA"/>
    <w:multiLevelType w:val="multilevel"/>
    <w:tmpl w:val="773EA2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1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6"/>
  </w:num>
  <w:num w:numId="9">
    <w:abstractNumId w:val="5"/>
  </w:num>
  <w:num w:numId="10">
    <w:abstractNumId w:val="7"/>
  </w:num>
  <w:num w:numId="11">
    <w:abstractNumId w:val="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F91C08"/>
    <w:rsid w:val="28F91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2026-07-28T08:18:00Z</dcterms:created>
  <dc:creator>陈智磊</dc:creator>
  <cp:lastModifiedBy>陈智磊</cp:lastModifiedBy>
  <dcterms:modified xsi:type="dcterms:W3CDTF">2026-07-28T08:19:06Z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A514FF63212E452B97FB110EC1CED657_11</vt:lpwstr>
  </property>
  <property fmtid="{D5CDD505-2E9C-101B-9397-08002B2CF9AE}" pid="4" name="KSOTemplateDocerSaveRecord">
    <vt:lpwstr>eyJoZGlkIjoiM2QxMzQ1NmNiYWQ2ZWEyN2EzYjg0OTM4M2FmNjM4MDEiLCJ1c2VySWQiOiIxNzQ0NDIwODU5In0=</vt:lpwstr>
  </property>
</Properties>
</file>