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FA34E7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eastAsia" w:ascii="Segoe UI" w:hAnsi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  <w:lang w:val="en-US" w:eastAsia="zh-CN"/>
        </w:rPr>
      </w:pP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  <w:lang w:val="en-US" w:eastAsia="zh-CN"/>
        </w:rPr>
        <w:t>审稿人 DB</w:t>
      </w:r>
      <w:bookmarkStart w:id="0" w:name="_GoBack"/>
      <w:bookmarkEnd w:id="0"/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  <w:lang w:val="en-US" w:eastAsia="zh-CN"/>
        </w:rPr>
        <w:t>：</w:t>
      </w:r>
    </w:p>
    <w:p w14:paraId="6D2EDFF3">
      <w:pPr>
        <w:rPr>
          <w:rFonts w:hint="eastAsia" w:ascii="Segoe UI" w:hAnsi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  <w:lang w:val="en-US" w:eastAsia="zh-CN"/>
        </w:rPr>
      </w:pPr>
    </w:p>
    <w:p w14:paraId="1E0D15B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国际齿轮顶刊审稿人评审意见：矛盾、不一致、缺陷与提升方案</w:t>
      </w:r>
    </w:p>
    <w:p w14:paraId="3683C3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一、论文存在</w:t>
      </w:r>
      <w:r>
        <w:rPr>
          <w:rStyle w:val="8"/>
          <w:b/>
          <w:color w:val="000000"/>
          <w:sz w:val="24"/>
          <w:szCs w:val="24"/>
        </w:rPr>
        <w:t>逻辑矛盾、统计缺陷、理论不一致、工程漏洞</w:t>
      </w:r>
      <w:r>
        <w:rPr>
          <w:color w:val="000000"/>
          <w:sz w:val="24"/>
          <w:szCs w:val="24"/>
        </w:rPr>
        <w:t>（分 4 大类逐条，符合机械疲劳 TOP 期刊审稿标准）</w:t>
      </w:r>
    </w:p>
    <w:p w14:paraId="444983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（一）统计方法核心硬伤（最严重，极易直接拒稿）</w:t>
      </w:r>
    </w:p>
    <w:p w14:paraId="4F42324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569E53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截尾 Run-out 数据直接剔除，ANOVA 模型严重失真，存在自相矛盾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原文 144 组组合中 28 组为无限寿命 Run-out（右删失数据），作者直接删除 28 组仅用 116 组有限寿命做</w:t>
      </w:r>
      <w:r>
        <w:rPr>
          <w:rStyle w:val="10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log₁₀(Nf)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全因子 ANOVA，出现两处关键矛盾：</w:t>
      </w:r>
    </w:p>
    <w:p w14:paraId="42429CB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2ECDB81D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矛盾 1：文中称 “残差 23.3% 来自耐久极限截断带来的非线性”，但传统方差分析</w:t>
      </w:r>
      <w:r>
        <w:rPr>
          <w:rStyle w:val="8"/>
          <w:color w:val="000000"/>
          <w:sz w:val="24"/>
          <w:szCs w:val="24"/>
        </w:rPr>
        <w:t>不能处理删失数据</w:t>
      </w:r>
      <w:r>
        <w:rPr>
          <w:color w:val="000000"/>
          <w:sz w:val="24"/>
          <w:szCs w:val="24"/>
        </w:rPr>
        <w:t>，人为丢弃 19.4% 样本会系统性低估总方差，方差分解占比（标准 31.1%、平均应力 30.9%）全部存在偏倚；</w:t>
      </w:r>
    </w:p>
    <w:p w14:paraId="74ECF898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矛盾 2：后文用 Logistic 回归证明 “平均应力、粗糙度是 Run-out / 失效二元结果核心预测因子”，但 ANOVA 完全抛弃 Run-out 样本，两套分析样本集不统一，结论无法互相支撑，统计逻辑断裂</w:t>
      </w:r>
      <w:r>
        <w:rPr>
          <w:color w:val="000000"/>
          <w:sz w:val="13"/>
          <w:szCs w:val="13"/>
        </w:rPr>
        <w:t>ResearchGa...</w:t>
      </w:r>
      <w:r>
        <w:rPr>
          <w:color w:val="000000"/>
          <w:sz w:val="24"/>
          <w:szCs w:val="24"/>
        </w:rPr>
        <w:t>。 行业规范（IIW 疲劳统计指南）明确：含 Run-out 疲劳数据禁止直接用普通 ANOVA，应采用</w:t>
      </w:r>
      <w:r>
        <w:rPr>
          <w:rStyle w:val="8"/>
          <w:color w:val="000000"/>
          <w:sz w:val="24"/>
          <w:szCs w:val="24"/>
        </w:rPr>
        <w:t>生存分析 / 极大似然混合模型</w:t>
      </w:r>
      <w:r>
        <w:rPr>
          <w:color w:val="000000"/>
          <w:sz w:val="24"/>
          <w:szCs w:val="24"/>
        </w:rPr>
        <w:t>，而非粗暴删失样本。</w:t>
      </w:r>
    </w:p>
    <w:p w14:paraId="2C5F385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6002AE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ANOVA 前提假设未验证，结果可信度存疑</w:t>
      </w:r>
    </w:p>
    <w:p w14:paraId="25F8FC7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04F6AA88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未验证残差正态性、方差齐性；</w:t>
      </w:r>
      <w:r>
        <w:rPr>
          <w:rStyle w:val="10"/>
          <w:color w:val="000000"/>
          <w:sz w:val="24"/>
          <w:szCs w:val="24"/>
        </w:rPr>
        <w:t>log₁₀(Nf)</w:t>
      </w:r>
      <w:r>
        <w:rPr>
          <w:color w:val="000000"/>
          <w:sz w:val="24"/>
          <w:szCs w:val="24"/>
        </w:rPr>
        <w:t>在多标准、多粗糙度下分布差异极大，存在异方差，F 统计量与方差占比会失真；</w:t>
      </w:r>
    </w:p>
    <w:p w14:paraId="49E03CDC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显著交互项（Standard×Rz，5.0%）存在，但作者仍单独解读主效应 “标准、平均应力是两大主导因素”，统计规范要求：</w:t>
      </w:r>
      <w:r>
        <w:rPr>
          <w:rStyle w:val="8"/>
          <w:color w:val="000000"/>
          <w:sz w:val="24"/>
          <w:szCs w:val="24"/>
        </w:rPr>
        <w:t>交互显著时不能单独解释主效应</w:t>
      </w:r>
      <w:r>
        <w:rPr>
          <w:color w:val="000000"/>
          <w:sz w:val="24"/>
          <w:szCs w:val="24"/>
        </w:rPr>
        <w:t>，原文结论解读违背统计准则；</w:t>
      </w:r>
    </w:p>
    <w:p w14:paraId="34D121CA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Bootstrap 信噪比 S/N&lt;3 的因子（粗糙度、交互项）仍强行定性为 “可区分于 0”，95% 置信区间包含 0，结论夸大效应。</w:t>
      </w:r>
    </w:p>
    <w:p w14:paraId="7983AB0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55F088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方差分解定义模糊，总方差解释存在漏洞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所有主效应 + 交互项仅解释 76.7% 方差，剩余 23.3% 归为残差，但未区分：①耐久极限截断的非线性；②模型未纳入的高阶交互；③统计抽样噪声；无法区分哪部分是方法本身带来的不确定性，哪部分是统计缺陷引入的误差。</w:t>
      </w:r>
    </w:p>
    <w:p w14:paraId="5ED1F5B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10FD10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（二）齿轮标准计算理论不一致、建模漏洞（工程核心矛盾）</w:t>
      </w:r>
    </w:p>
    <w:p w14:paraId="6A2B900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63B4DF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应力集中处理存在双重计数风险，逻辑不自洽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原文声明：ISO 6336 的</w:t>
      </w:r>
      <w:r>
        <w:rPr>
          <w:rStyle w:val="10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Y_Sa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已包含齿根几何应力集中，因此不再引入</w:t>
      </w:r>
      <w:r>
        <w:rPr>
          <w:rStyle w:val="10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K_f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缺口疲劳系数；但存在两处不一致：</w:t>
      </w:r>
    </w:p>
    <w:p w14:paraId="1E99CB4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5F6E369E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AGMA、FKM 标准本身</w:t>
      </w:r>
      <w:r>
        <w:rPr>
          <w:rStyle w:val="8"/>
          <w:color w:val="000000"/>
          <w:sz w:val="24"/>
          <w:szCs w:val="24"/>
        </w:rPr>
        <w:t>无</w:t>
      </w:r>
      <w:r>
        <w:rPr>
          <w:rStyle w:val="10"/>
          <w:color w:val="000000"/>
          <w:sz w:val="24"/>
          <w:szCs w:val="24"/>
        </w:rPr>
        <w:t>Y_Sa</w:t>
      </w:r>
      <w:r>
        <w:rPr>
          <w:rStyle w:val="8"/>
          <w:color w:val="000000"/>
          <w:sz w:val="24"/>
          <w:szCs w:val="24"/>
        </w:rPr>
        <w:t>等效系数</w:t>
      </w:r>
      <w:r>
        <w:rPr>
          <w:color w:val="000000"/>
          <w:sz w:val="24"/>
          <w:szCs w:val="24"/>
        </w:rPr>
        <w:t>，三者应力集中处理逻辑不对等：ISO 通过几何系数放大名义应力，AGMA/FKM 依赖独立应力修正，仅统一用</w:t>
      </w:r>
      <w:r>
        <w:rPr>
          <w:rStyle w:val="10"/>
          <w:color w:val="000000"/>
          <w:sz w:val="24"/>
          <w:szCs w:val="24"/>
        </w:rPr>
        <w:t>Y_Sa</w:t>
      </w:r>
      <w:r>
        <w:rPr>
          <w:color w:val="000000"/>
          <w:sz w:val="24"/>
          <w:szCs w:val="24"/>
        </w:rPr>
        <w:t>会人为压低 AGMA/FKM 的应力水平，放大标准间计算差值，人为扩大 “标准选择带来的方差占比”；</w:t>
      </w:r>
    </w:p>
    <w:p w14:paraId="0B54ADB6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文中提出 “未来可叠加 3D 有限元</w:t>
      </w:r>
      <w:r>
        <w:rPr>
          <w:rStyle w:val="10"/>
          <w:color w:val="000000"/>
          <w:sz w:val="24"/>
          <w:szCs w:val="24"/>
        </w:rPr>
        <w:t>K_f</w:t>
      </w:r>
      <w:r>
        <w:rPr>
          <w:color w:val="000000"/>
          <w:sz w:val="24"/>
          <w:szCs w:val="24"/>
        </w:rPr>
        <w:t>”，但未定量论证当前简化处理对三种标准预测差值的偏移幅度，关键简化假设未做敏感性校验。</w:t>
      </w:r>
    </w:p>
    <w:p w14:paraId="3F6CDB8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53C592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粗糙度修正系数适用范围人为外推，标准规则执行不统一</w:t>
      </w:r>
    </w:p>
    <w:p w14:paraId="2032FA1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6998387A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ISO 6336 粗糙度公式</w:t>
      </w:r>
      <w:r>
        <w:rPr>
          <w:rStyle w:val="10"/>
          <w:color w:val="000000"/>
          <w:sz w:val="24"/>
          <w:szCs w:val="24"/>
        </w:rPr>
        <w:t>Y_RrelT</w:t>
      </w:r>
      <w:r>
        <w:rPr>
          <w:color w:val="000000"/>
          <w:sz w:val="24"/>
          <w:szCs w:val="24"/>
        </w:rPr>
        <w:t>仅在</w:t>
      </w:r>
      <w:r>
        <w:rPr>
          <w:rStyle w:val="10"/>
          <w:color w:val="000000"/>
          <w:sz w:val="24"/>
          <w:szCs w:val="24"/>
        </w:rPr>
        <w:t>Rz≤40μm</w:t>
      </w:r>
      <w:r>
        <w:rPr>
          <w:color w:val="000000"/>
          <w:sz w:val="24"/>
          <w:szCs w:val="24"/>
        </w:rPr>
        <w:t>有效，原文采用</w:t>
      </w:r>
      <w:r>
        <w:rPr>
          <w:rStyle w:val="10"/>
          <w:color w:val="000000"/>
          <w:sz w:val="24"/>
          <w:szCs w:val="24"/>
        </w:rPr>
        <w:t>Rz=50μm</w:t>
      </w:r>
      <w:r>
        <w:rPr>
          <w:color w:val="000000"/>
          <w:sz w:val="24"/>
          <w:szCs w:val="24"/>
        </w:rPr>
        <w:t>锻件表面，标准明确要求粗糙度系数封顶至 40μm 对应值，作者虽说明但未量化外推带来的误差；</w:t>
      </w:r>
    </w:p>
    <w:p w14:paraId="56D0C371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AGMA 粗糙度公式单位为</w:t>
      </w:r>
      <w:r>
        <w:rPr>
          <w:rStyle w:val="10"/>
          <w:color w:val="000000"/>
          <w:sz w:val="24"/>
          <w:szCs w:val="24"/>
        </w:rPr>
        <w:t>Ra（微英寸）</w:t>
      </w:r>
      <w:r>
        <w:rPr>
          <w:color w:val="000000"/>
          <w:sz w:val="24"/>
          <w:szCs w:val="24"/>
        </w:rPr>
        <w:t>，转换</w:t>
      </w:r>
      <w:r>
        <w:rPr>
          <w:rStyle w:val="10"/>
          <w:color w:val="000000"/>
          <w:sz w:val="24"/>
          <w:szCs w:val="24"/>
        </w:rPr>
        <w:t>Rz≈Ra/6</w:t>
      </w:r>
      <w:r>
        <w:rPr>
          <w:color w:val="000000"/>
          <w:sz w:val="24"/>
          <w:szCs w:val="24"/>
        </w:rPr>
        <w:t>仅为经验近似，无文献验证 42CrMo 调质钢齿轮转换误差；FKM 粗糙度项绑定材料屈服强度，三者粗糙度惩罚的物理基准不统一，变量控制存在系统性偏差。</w:t>
      </w:r>
    </w:p>
    <w:p w14:paraId="4188406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3A4617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载荷系数全部取 1，工业代表性缺失，结论普适性矛盾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作者将使用系数</w:t>
      </w:r>
      <w:r>
        <w:rPr>
          <w:rStyle w:val="10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K_A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、动载系数</w:t>
      </w:r>
      <w:r>
        <w:rPr>
          <w:rStyle w:val="10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K_V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、齿向分配系数全部置 1，仅理想稳态工况；但后文提出 “扭矩改变会改变因子排序”，却未论证</w:t>
      </w: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动态载荷、冲击、装配偏差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等工业常见变量对五大方法因子权重的扰动，标题宣称 “面向工程选择”，但模型完全脱离真实工程边界条件，研究定位与建模假设冲突。</w:t>
      </w:r>
    </w:p>
    <w:p w14:paraId="4B519E2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57DEA8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（三）研究结论与试验 / 文献对比的矛盾点</w:t>
      </w:r>
    </w:p>
    <w:p w14:paraId="7AF9E30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383397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“R=0 脉动载荷下平均应力影响可忽略” 传统认知推翻，但边界条件缺失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原文核心结论：700N・m 高应力下</w:t>
      </w:r>
      <w:r>
        <w:rPr>
          <w:rStyle w:val="10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σ_m/σ_uts≈0.39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，四种平均应力修正差异巨大；但自相矛盾：</w:t>
      </w:r>
    </w:p>
    <w:p w14:paraId="5A1E0DE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0885F722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未区分</w:t>
      </w:r>
      <w:r>
        <w:rPr>
          <w:rStyle w:val="8"/>
          <w:color w:val="000000"/>
          <w:sz w:val="24"/>
          <w:szCs w:val="24"/>
        </w:rPr>
        <w:t>渗碳淬火（表面压残余应力）</w:t>
      </w:r>
      <w:r>
        <w:rPr>
          <w:color w:val="000000"/>
          <w:sz w:val="24"/>
          <w:szCs w:val="24"/>
        </w:rPr>
        <w:t>与调质贯通淬火，仅针对 42CrMo 无残余应力齿轮，却未在摘要、结论中醒目限定适用边界，易误导读者认为所有齿轮 R=0 均存在显著平均应力效应；</w:t>
      </w:r>
    </w:p>
    <w:p w14:paraId="031BEBD3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600N・m 扭矩下平均应力方差占比仅 10.2%，远低于标准 36%，说明结论强依赖应力水平，但摘要只强调 “平均应力与标准同等重要”，未强调工况依赖性，结论表述片面。</w:t>
      </w:r>
    </w:p>
    <w:p w14:paraId="2A54932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464022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与 Bonaiti 等顶刊文献对比存在论证断层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原文称本文与 Bonaiti 互补，但存在两处不一致：</w:t>
      </w:r>
    </w:p>
    <w:p w14:paraId="59E4C83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32013E0E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Bonaiti 指出 “损伤累积规则对变幅载荷影响显著”，本文仅恒幅载荷得出 “Miner / 修正 Miner 可忽略”，未明确区分</w:t>
      </w:r>
      <w:r>
        <w:rPr>
          <w:rStyle w:val="8"/>
          <w:color w:val="000000"/>
          <w:sz w:val="24"/>
          <w:szCs w:val="24"/>
        </w:rPr>
        <w:t>恒幅 vs 变幅载荷</w:t>
      </w:r>
      <w:r>
        <w:rPr>
          <w:color w:val="000000"/>
          <w:sz w:val="24"/>
          <w:szCs w:val="24"/>
        </w:rPr>
        <w:t>的适用边界，直接对比易造成读者误解；</w:t>
      </w:r>
    </w:p>
    <w:p w14:paraId="1A072300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Bonaiti 基于脉动试验 S-N 曲线，本文采用公开标准 S-N 数据库，两套 S-N 基础数据来源不同，二者差异未定量剥离，对比论证不严谨。</w:t>
      </w:r>
    </w:p>
    <w:p w14:paraId="6A4CB6C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03FF70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8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5 个方法变量筛选存在遗漏关键工程选择，研究范围定义前后矛盾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标题称 “Five Engineering Choices”，但实际工程中还有：齿轮可靠度系数、齿根修形、残余应力、缺口敏感系数、S-N 曲线统计拟合方法（Staircase/Probit）等关键选择；前文综述指出 “Bonaiti 证明 S-N 统计拟合方法影响显著”，但本文直接忽略该维度，未论证 “为何仅选取 5 个变量、其余变量可忽略”，变量筛选无客观依据。</w:t>
      </w:r>
    </w:p>
    <w:p w14:paraId="1186661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152A56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（四）创新、验证层面的短板（无虚假，但论证力度不足）</w:t>
      </w:r>
    </w:p>
    <w:p w14:paraId="508486E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纯数值仿真研究，无试验验证，结论缺乏物理支撑</w:t>
      </w:r>
      <w:r>
        <w:rPr>
          <w:color w:val="000000"/>
          <w:sz w:val="24"/>
          <w:szCs w:val="24"/>
        </w:rPr>
        <w:t xml:space="preserve"> 全文为标准化解析公式数值遍历，无齿轮弯曲疲劳试验；文中仅引用他人文献间接佐证，未开展对标试验验证 “5 个方法带来 5 个数量级寿命差” 是否真实存在于物理试样，属于</w:t>
      </w:r>
      <w:r>
        <w:rPr>
          <w:rStyle w:val="8"/>
          <w:color w:val="000000"/>
          <w:sz w:val="24"/>
          <w:szCs w:val="24"/>
        </w:rPr>
        <w:t>纯数值敏感性分析</w:t>
      </w:r>
      <w:r>
        <w:rPr>
          <w:color w:val="000000"/>
          <w:sz w:val="24"/>
          <w:szCs w:val="24"/>
        </w:rPr>
        <w:t>，不确定性量化结论仅针对理论模型，而非真实齿轮部件。</w:t>
      </w:r>
    </w:p>
    <w:p w14:paraId="3229D16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Run-out 机理分析片面</w:t>
      </w:r>
      <w:r>
        <w:rPr>
          <w:color w:val="000000"/>
          <w:sz w:val="24"/>
          <w:szCs w:val="24"/>
        </w:rPr>
        <w:t xml:space="preserve"> 文中发现 28 组 Run-out 集中于 Gerber + 磨削表面，但未区分：是</w:t>
      </w:r>
      <w:r>
        <w:rPr>
          <w:rStyle w:val="8"/>
          <w:color w:val="000000"/>
          <w:sz w:val="24"/>
          <w:szCs w:val="24"/>
        </w:rPr>
        <w:t>等效应力低于材料耐久极限</w:t>
      </w:r>
      <w:r>
        <w:rPr>
          <w:color w:val="000000"/>
          <w:sz w:val="24"/>
          <w:szCs w:val="24"/>
        </w:rPr>
        <w:t>，还是标准 S-N 曲线外推带来的数值截断效应，无法区分物理失效边界与模型人为截断边界。</w:t>
      </w:r>
    </w:p>
    <w:p w14:paraId="64F8C74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二、分维度修改提升方案（顶刊录用级整改意见，分强制修改 / 优化补充）</w:t>
      </w:r>
    </w:p>
    <w:p w14:paraId="430816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（一）统计模块【强制修改，不修改直接拒稿】</w:t>
      </w:r>
    </w:p>
    <w:p w14:paraId="29D630F6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替换普通全因子 ANOVA，采用</w:t>
      </w:r>
      <w:r>
        <w:rPr>
          <w:rStyle w:val="8"/>
          <w:color w:val="000000"/>
          <w:sz w:val="24"/>
          <w:szCs w:val="24"/>
        </w:rPr>
        <w:t>生存分析混合效应模型</w:t>
      </w:r>
      <w:r>
        <w:rPr>
          <w:color w:val="000000"/>
          <w:sz w:val="24"/>
          <w:szCs w:val="24"/>
        </w:rPr>
        <w:t>（包含 Run-out 删失样本），重新计算各方法因子方差贡献占比，修正因删失样本剔除带来的偏倚；</w:t>
      </w:r>
    </w:p>
    <w:p w14:paraId="127589E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补充 ANOVA 前提验证：残差正态 Q-Q 图、方差齐性检验；因 Standard×Rz 交互显著，增加简单效应分析，分粗糙度层级解读三大标准的主效应，不再单独笼统宣称 “标准与平均应力同等重要”；</w:t>
      </w:r>
    </w:p>
    <w:p w14:paraId="432111E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重新定义方差分解：拆分残差项为 “耐久极限截断非线性、高阶交互、抽样噪声” 三部分，量化每一部分贡献；Bootstrap 结果仅将 S/N≥3 的因子定义为稳定显著因素，弱化粗糙度、交互项的结论强度。</w:t>
      </w:r>
    </w:p>
    <w:p w14:paraId="68BFB7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（二）齿轮标准建模【强制修改，消除理论不一致】</w:t>
      </w:r>
    </w:p>
    <w:p w14:paraId="13F54F24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统一三种标准的齿根应力集中计算基准： </w:t>
      </w:r>
    </w:p>
    <w:p w14:paraId="01F924F2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方案 A（推荐）：移除 ISO 专属</w:t>
      </w:r>
      <w:r>
        <w:rPr>
          <w:rStyle w:val="10"/>
          <w:color w:val="000000"/>
          <w:sz w:val="24"/>
          <w:szCs w:val="24"/>
        </w:rPr>
        <w:t>Y_Sa</w:t>
      </w:r>
      <w:r>
        <w:rPr>
          <w:color w:val="000000"/>
          <w:sz w:val="24"/>
          <w:szCs w:val="24"/>
        </w:rPr>
        <w:t>，统一采用有限元几何应力集中系数</w:t>
      </w:r>
      <w:r>
        <w:rPr>
          <w:rStyle w:val="10"/>
          <w:color w:val="000000"/>
          <w:sz w:val="24"/>
          <w:szCs w:val="24"/>
        </w:rPr>
        <w:t>K_t</w:t>
      </w:r>
      <w:r>
        <w:rPr>
          <w:color w:val="000000"/>
          <w:sz w:val="24"/>
          <w:szCs w:val="24"/>
        </w:rPr>
        <w:t>，再按需叠加</w:t>
      </w:r>
      <w:r>
        <w:rPr>
          <w:rStyle w:val="10"/>
          <w:color w:val="000000"/>
          <w:sz w:val="24"/>
          <w:szCs w:val="24"/>
        </w:rPr>
        <w:t>K_f</w:t>
      </w:r>
      <w:r>
        <w:rPr>
          <w:color w:val="000000"/>
          <w:sz w:val="24"/>
          <w:szCs w:val="24"/>
        </w:rPr>
        <w:t>，消除三种标准应力计算不对等问题；</w:t>
      </w:r>
    </w:p>
    <w:p w14:paraId="6F5A009C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方案 B：定量测算当前</w:t>
      </w:r>
      <w:r>
        <w:rPr>
          <w:rStyle w:val="10"/>
          <w:color w:val="000000"/>
          <w:sz w:val="24"/>
          <w:szCs w:val="24"/>
        </w:rPr>
        <w:t>Y_Sa</w:t>
      </w:r>
      <w:r>
        <w:rPr>
          <w:color w:val="000000"/>
          <w:sz w:val="24"/>
          <w:szCs w:val="24"/>
        </w:rPr>
        <w:t>仅用于 ISO 带来的标准间计算偏差，增加偏差修正系数，在方差分解中剥离该建模引入的人为误差；</w:t>
      </w:r>
    </w:p>
    <w:p w14:paraId="09685130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粗糙度处理统一规范： </w:t>
      </w:r>
    </w:p>
    <w:p w14:paraId="62E61322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Rz=50μm 处明确标注 ISO 公式外推误差范围，补充不同粗糙度下三种标准粗糙度惩罚项误差对比曲线；</w:t>
      </w:r>
    </w:p>
    <w:p w14:paraId="4BA280E4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完整说明 AGMA 英制 / 公制单位转换近似误差，定量评估</w:t>
      </w:r>
      <w:r>
        <w:rPr>
          <w:rStyle w:val="10"/>
          <w:color w:val="000000"/>
          <w:sz w:val="24"/>
          <w:szCs w:val="24"/>
        </w:rPr>
        <w:t>Ra≈Rz/6</w:t>
      </w:r>
      <w:r>
        <w:rPr>
          <w:color w:val="000000"/>
          <w:sz w:val="24"/>
          <w:szCs w:val="24"/>
        </w:rPr>
        <w:t>带来的寿命预测偏移；</w:t>
      </w:r>
    </w:p>
    <w:p w14:paraId="63D4DC90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补充载荷系数敏感性分析：增设</w:t>
      </w:r>
      <w:r>
        <w:rPr>
          <w:rStyle w:val="10"/>
          <w:color w:val="000000"/>
          <w:sz w:val="24"/>
          <w:szCs w:val="24"/>
        </w:rPr>
        <w:t>K_A=1.25/1.5</w:t>
      </w:r>
      <w:r>
        <w:rPr>
          <w:color w:val="000000"/>
          <w:sz w:val="24"/>
          <w:szCs w:val="24"/>
        </w:rPr>
        <w:t>工业冲击工况，重新计算五大因子方差占比，论证载荷波动如何改变因子排序，补齐工程代表性。</w:t>
      </w:r>
    </w:p>
    <w:p w14:paraId="388B91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（三）结论与讨论逻辑优化【大修，解决表述片面、边界模糊】</w:t>
      </w:r>
    </w:p>
    <w:p w14:paraId="22A89DEF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重写摘要、结论，</w:t>
      </w:r>
      <w:r>
        <w:rPr>
          <w:rStyle w:val="8"/>
          <w:color w:val="000000"/>
          <w:sz w:val="24"/>
          <w:szCs w:val="24"/>
        </w:rPr>
        <w:t>醒目限定适用边界</w:t>
      </w:r>
      <w:r>
        <w:rPr>
          <w:color w:val="000000"/>
          <w:sz w:val="24"/>
          <w:szCs w:val="24"/>
        </w:rPr>
        <w:t>：仅适用于无残余应力调质 42CrMo 直齿轮、恒幅脉动 R=0、中高扭矩近耐久极限工况；明确低扭矩、渗碳齿轮下平均应力效应会大幅下降；</w:t>
      </w:r>
    </w:p>
    <w:p w14:paraId="6195C3F6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完善文献对比逻辑：区分恒幅 / 变幅载荷下累积损伤规则的影响差异，解释本文 “Miner 影响可忽略” 与 Bonaiti 结论不冲突的边界条件；</w:t>
      </w:r>
    </w:p>
    <w:p w14:paraId="5EF45817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补充变量筛选依据：通过预敏感性分析证明 “可靠度、齿修形、S-N 拟合方法” 方差贡献低于 0.5%，因此仅选取 5 个核心变量，消除 “变量选取主观” 质疑。</w:t>
      </w:r>
    </w:p>
    <w:p w14:paraId="1A8F34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（四）创新与验证补充（大幅提升期刊录用竞争力）</w:t>
      </w:r>
    </w:p>
    <w:p w14:paraId="5466A822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增加对标验证：采用文献中 42CrMo 齿轮试验参数，复现本文计算流程，对比预测寿命与试验实测寿命，量化不同标准 + 修正方法的预测误差；若无试验条件，至少开展蒙特卡罗仿真，剥离材料固有离散性，区分 “方法带来的不确定性” 和 “材料本身散差”；</w:t>
      </w:r>
    </w:p>
    <w:p w14:paraId="39A31D82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拓展工况矩阵：增加 R=-1（完全对称循环）、R=0.3 工况，分析应力比如何改变五大方法因子权重，完善 “因子排序随工作点变化” 的核心论点；</w:t>
      </w:r>
    </w:p>
    <w:p w14:paraId="167F0CBE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开源工具包补充：在附录提供完整计算代码，明确每一步 ISO/AGMA/FKM 系数计算公式，提升结果可复现性（顶刊不确定性量化研究必备）；</w:t>
      </w:r>
    </w:p>
    <w:p w14:paraId="16A496E4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补充工程指导建议：针对齿轮设计人员给出实操规范 —— 高应力工况优先统一平均应力修正模型；粗糙锻件表面优先锁定单一标准；低扭矩常规工况可优先统一标准，降低方法带来的寿命离散。</w:t>
      </w:r>
    </w:p>
    <w:p w14:paraId="0BC997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（五）图表优化</w:t>
      </w:r>
    </w:p>
    <w:p w14:paraId="1ACC1F47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图 2 方差分解柱状图：区分 “统计模型噪声” 与 “方法固有方差”，误差区间标注更清晰；</w:t>
      </w:r>
    </w:p>
    <w:p w14:paraId="29E98533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图 3 粗糙度 × 标准交互图：分扭矩绘制两条曲线（600/700N・m），直观展示扭矩对交互效应的放大作用；</w:t>
      </w:r>
    </w:p>
    <w:p w14:paraId="0970F0B9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新增补充图：ANOVA 残差正态分布检验图、删失样本剔除前后方差占比对比图，直观展示统计缺陷带来的结果偏移。</w:t>
      </w:r>
    </w:p>
    <w:p w14:paraId="4AAD89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三、整体审稿综合判定（给主编的结论）</w:t>
      </w:r>
    </w:p>
    <w:p w14:paraId="7AEA2660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优势</w:t>
      </w:r>
      <w:r>
        <w:rPr>
          <w:color w:val="000000"/>
          <w:sz w:val="24"/>
          <w:szCs w:val="24"/>
        </w:rPr>
        <w:t>：选题新颖，首次采用全因子方差分解量化多标准、多修正方法带来的齿轮疲劳预测不确定性，框架完整，贴合工业设计痛点，有明确工程价值；标准公式核对严谨，开源工具具备复用价值；</w:t>
      </w:r>
    </w:p>
    <w:p w14:paraId="6080AFA7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核心缺陷（拒稿风险点）</w:t>
      </w:r>
      <w:r>
        <w:rPr>
          <w:color w:val="000000"/>
          <w:sz w:val="24"/>
          <w:szCs w:val="24"/>
        </w:rPr>
        <w:t>：统计方法误用（删失样本直接丢弃、交互显著仍解读主效应）、三种标准应力集中建模不对等造成人为方差偏移、结论边界模糊易误导读者、缺少试验物理验证；</w:t>
      </w:r>
    </w:p>
    <w:p w14:paraId="2C76CBF6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录用建议</w:t>
      </w:r>
      <w:r>
        <w:rPr>
          <w:color w:val="000000"/>
          <w:sz w:val="24"/>
          <w:szCs w:val="24"/>
        </w:rPr>
        <w:t>：</w:t>
      </w:r>
      <w:r>
        <w:rPr>
          <w:rStyle w:val="8"/>
          <w:color w:val="000000"/>
          <w:sz w:val="24"/>
          <w:szCs w:val="24"/>
        </w:rPr>
        <w:t>大修（Major Revision）</w:t>
      </w:r>
      <w:r>
        <w:rPr>
          <w:color w:val="000000"/>
          <w:sz w:val="24"/>
          <w:szCs w:val="24"/>
        </w:rPr>
        <w:t>，全部统计与建模硬伤必须整改，补充工况拓展与验证分析；若仅小幅修改统计描述、不更换 ANOVA 模型，建议直接拒稿（统计结论不可靠）。</w:t>
      </w:r>
    </w:p>
    <w:p w14:paraId="0CCF23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60" w:right="12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gear_fatigue_v2.8.pdf</w:t>
      </w:r>
    </w:p>
    <w:p w14:paraId="1B9E67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从 International Journal of Fatigue 期刊审稿人的角度，审核一下这篇关于 齿轮疲劳 的论文 是否存在任何虚假，不一致，矛盾、过度声称、循环论证 等问题</w:t>
      </w:r>
    </w:p>
    <w:p w14:paraId="63E9D4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jc w:val="left"/>
        <w:rPr>
          <w:color w:val="000000"/>
          <w:sz w:val="22"/>
          <w:szCs w:val="22"/>
        </w:rPr>
      </w:pP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搜索 4 个关键词，参考 24 篇资料</w:t>
      </w:r>
    </w:p>
    <w:p w14:paraId="2A37582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International Journal of Fatigue 审稿人完整评审报告</w:t>
      </w:r>
    </w:p>
    <w:p w14:paraId="7C0674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稿件：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Method-Induced Uncertainty in Gear Bending Fatigue: Factorial Variance Decomposition Across Five Engineering Choices</w:t>
      </w:r>
    </w:p>
    <w:p w14:paraId="0E12AA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整体定级：Major Revision（大修，存在多处统计硬伤、建模不一致、过度声称、内在逻辑矛盾，无学术造假 / 虚假数据，但大量结论不具备可靠支撑，必须系统性整改）</w:t>
      </w:r>
    </w:p>
    <w:p w14:paraId="3FE537D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一、明确存在的</w:t>
      </w:r>
      <w:r>
        <w:rPr>
          <w:rStyle w:val="8"/>
          <w:b/>
          <w:color w:val="000000"/>
          <w:sz w:val="24"/>
          <w:szCs w:val="24"/>
        </w:rPr>
        <w:t>矛盾、逻辑不自洽、内部不一致</w:t>
      </w:r>
      <w:r>
        <w:rPr>
          <w:color w:val="000000"/>
          <w:sz w:val="24"/>
          <w:szCs w:val="24"/>
        </w:rPr>
        <w:t>问题（分统计、建模、行文三层）</w:t>
      </w:r>
    </w:p>
    <w:p w14:paraId="1B56F1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（一）统计分析核心自相矛盾（IJF 疲劳统计审稿红线问题）</w:t>
      </w:r>
    </w:p>
    <w:p w14:paraId="4FB035AE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删失 Run-out 数据处理完全违背领域规范，两套分析样本割裂、结论互斥</w:t>
      </w:r>
      <w:r>
        <w:rPr>
          <w:color w:val="000000"/>
          <w:sz w:val="24"/>
          <w:szCs w:val="24"/>
        </w:rPr>
        <w:t xml:space="preserve"> </w:t>
      </w:r>
    </w:p>
    <w:p w14:paraId="485BE811">
      <w:pPr>
        <w:keepNext w:val="0"/>
        <w:keepLines w:val="0"/>
        <w:widowControl/>
        <w:numPr>
          <w:ilvl w:val="1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事实：144 组组合含 28 组 Run-out（19.4% 删失数据），作者直接删除仅用 116 组有限寿命做</w:t>
      </w:r>
      <w:r>
        <w:rPr>
          <w:rStyle w:val="10"/>
          <w:color w:val="000000"/>
          <w:sz w:val="24"/>
          <w:szCs w:val="24"/>
        </w:rPr>
        <w:t>log₁₀(Nf)</w:t>
      </w:r>
      <w:r>
        <w:rPr>
          <w:color w:val="000000"/>
          <w:sz w:val="24"/>
          <w:szCs w:val="24"/>
        </w:rPr>
        <w:t>全因子 ANOVA；但后文又用</w:t>
      </w:r>
      <w:r>
        <w:rPr>
          <w:rStyle w:val="8"/>
          <w:color w:val="000000"/>
          <w:sz w:val="24"/>
          <w:szCs w:val="24"/>
        </w:rPr>
        <w:t>全部 144 组</w:t>
      </w:r>
      <w:r>
        <w:rPr>
          <w:color w:val="000000"/>
          <w:sz w:val="24"/>
          <w:szCs w:val="24"/>
        </w:rPr>
        <w:t>做 Logistic 回归分析 Run-out / 失效二元分类。</w:t>
      </w:r>
    </w:p>
    <w:p w14:paraId="26B89C27">
      <w:pPr>
        <w:keepNext w:val="0"/>
        <w:keepLines w:val="0"/>
        <w:widowControl/>
        <w:numPr>
          <w:ilvl w:val="1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矛盾点： 1）ANOVA 方差分解仅基于 116 组，Logistic 回归使用完整 144 组，两套分析样本集不统一，无法证明 “决定寿命长短的因素与决定是否发生 Run-out 的因素一致”，该核心论断逻辑断裂； 2）作者承认残差 23.3% 来自耐久极限截断非线性，但普通线性 ANOVA 无法处理右删失疲劳数据，人为丢弃删失样本会系统性低估总方差，31.1%/30.9% 方差占比全部存在系统性偏倚； 3）IJF 期刊明确要求疲劳研究必须完整处理 Run-out，推荐极大似然生存分析 / 混合效应模型，粗暴剔除删失样本属于统计方法误用。</w:t>
      </w:r>
    </w:p>
    <w:p w14:paraId="71A245B1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8"/>
          <w:color w:val="000000"/>
          <w:sz w:val="24"/>
          <w:szCs w:val="24"/>
        </w:rPr>
        <w:t>显著交互项存在前提下，强行单独解读主效应，违背统计学基本准则</w:t>
      </w:r>
      <w:r>
        <w:rPr>
          <w:color w:val="000000"/>
          <w:sz w:val="24"/>
          <w:szCs w:val="24"/>
        </w:rPr>
        <w:t xml:space="preserve"> </w:t>
      </w:r>
    </w:p>
    <w:p w14:paraId="576958FB">
      <w:pPr>
        <w:keepNext w:val="0"/>
        <w:keepLines w:val="0"/>
        <w:widowControl/>
        <w:numPr>
          <w:ilvl w:val="1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数据显示</w:t>
      </w:r>
      <w:r>
        <w:rPr>
          <w:rStyle w:val="10"/>
          <w:color w:val="000000"/>
          <w:sz w:val="24"/>
          <w:szCs w:val="24"/>
        </w:rPr>
        <w:t>Standard × Rz</w:t>
      </w:r>
      <w:r>
        <w:rPr>
          <w:color w:val="000000"/>
          <w:sz w:val="24"/>
          <w:szCs w:val="24"/>
        </w:rPr>
        <w:t>交互项方差占比 5.0%、p=0.0005，交互高度显著；统计学规范：</w:t>
      </w:r>
      <w:r>
        <w:rPr>
          <w:rStyle w:val="8"/>
          <w:color w:val="000000"/>
          <w:sz w:val="24"/>
          <w:szCs w:val="24"/>
        </w:rPr>
        <w:t>交互显著时，边际主效应无独立解释价值，不能笼统宣称 “标准与平均应力修正同为两大主导因素”</w:t>
      </w:r>
      <w:r>
        <w:rPr>
          <w:color w:val="000000"/>
          <w:sz w:val="24"/>
          <w:szCs w:val="24"/>
        </w:rPr>
        <w:t>。</w:t>
      </w:r>
    </w:p>
    <w:p w14:paraId="0580C8EF">
      <w:pPr>
        <w:keepNext w:val="0"/>
        <w:keepLines w:val="0"/>
        <w:widowControl/>
        <w:numPr>
          <w:ilvl w:val="1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原文图 3 清晰证明：粗糙度越高，三大标准预测寿命差值越大；粗糙度越低，标准差异缩小。主效应 31.1% 是平均了粗糙 / 光滑表面的平均结果，掩盖了高度依赖</w:t>
      </w:r>
    </w:p>
    <w:p w14:paraId="37497BC1">
      <w:pPr>
        <w:rPr>
          <w:rFonts w:hint="default" w:ascii="Segoe UI" w:hAnsi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  <w:lang w:val="en-US" w:eastAsia="zh-CN"/>
        </w:rPr>
      </w:pPr>
    </w:p>
    <w:p w14:paraId="4BCCD768">
      <w:pPr>
        <w:rPr>
          <w:rFonts w:hint="eastAsia" w:ascii="Segoe UI" w:hAnsi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  <w:lang w:val="en-US" w:eastAsia="zh-CN"/>
        </w:rPr>
      </w:pP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  <w:lang w:val="en-US" w:eastAsia="zh-CN"/>
        </w:rPr>
        <w:t>针对部分意见的处理与抗辩，以及对抗辩内容的重新审查：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  <w:lang w:val="en-US" w:eastAsia="zh-CN"/>
        </w:rPr>
        <w:br w:type="textWrapping"/>
      </w:r>
    </w:p>
    <w:p w14:paraId="24D6B54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420" w:lineRule="atLeast"/>
        <w:ind w:left="0" w:right="0" w:firstLine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CFCFC"/>
          <w:lang w:val="en-US" w:eastAsia="zh-CN" w:bidi="ar"/>
        </w:rPr>
        <w:t>换 Tobit / 生存分析替代 ANOVA │ 需要重跑全部管线，且论文已坦白此缺陷 │├─────────────────────────────┼──────────────────────────────────────┤│ 载荷系数敏感性分析 │ 那是另一篇论文 │├─────────────────────────────┼──────────────────────────────────────┤│ 实验验证 │ 已明确声明不声称实验验证 │├─────────────────────────────┼──────────────────────────────────────┤│ Q-Q 图 / Levene 检验 │ 方法论论文不需要 │└─────────────────────────────┴──────────────────────────────────────┘</w:t>
      </w:r>
    </w:p>
    <w:p w14:paraId="29AF33A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42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CFCFC"/>
          <w:lang w:val="en-US" w:eastAsia="zh-CN" w:bidi="ar"/>
        </w:rPr>
        <w:t>你怎么看？</w:t>
      </w:r>
    </w:p>
    <w:p w14:paraId="11B5A85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80" w:beforeAutospacing="0" w:after="240" w:afterAutospacing="0" w:line="420" w:lineRule="atLeast"/>
        <w:ind w:left="0" w:right="0"/>
        <w:rPr>
          <w:b/>
          <w:bCs/>
          <w:color w:val="000000"/>
          <w:sz w:val="30"/>
          <w:szCs w:val="30"/>
        </w:rPr>
      </w:pPr>
      <w:r>
        <w:rPr>
          <w:b/>
          <w:bCs/>
          <w:i w:val="0"/>
          <w:iCs w:val="0"/>
          <w:caps w:val="0"/>
          <w:color w:val="000000"/>
          <w:spacing w:val="0"/>
          <w:sz w:val="30"/>
          <w:szCs w:val="30"/>
          <w:bdr w:val="single" w:color="auto" w:sz="2" w:space="0"/>
          <w:shd w:val="clear" w:fill="FCFCFC"/>
        </w:rPr>
        <w:t>International Journal of Fatigue 审稿人专项评议：针对作者 4 条抗辩理由逐条驳斥 + 综合判定</w:t>
      </w:r>
    </w:p>
    <w:p w14:paraId="0D23BF61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80" w:beforeAutospacing="0" w:after="240" w:afterAutospacing="0" w:line="420" w:lineRule="atLeast"/>
        <w:ind w:left="0" w:right="0"/>
        <w:rPr>
          <w:b/>
          <w:bCs/>
          <w:color w:val="000000"/>
          <w:sz w:val="27"/>
          <w:szCs w:val="27"/>
        </w:rPr>
      </w:pPr>
      <w:r>
        <w:rPr>
          <w:b/>
          <w:bCs/>
          <w:i w:val="0"/>
          <w:iCs w:val="0"/>
          <w:caps w:val="0"/>
          <w:color w:val="000000"/>
          <w:spacing w:val="0"/>
          <w:sz w:val="27"/>
          <w:szCs w:val="27"/>
          <w:bdr w:val="single" w:color="auto" w:sz="2" w:space="0"/>
          <w:shd w:val="clear" w:fill="FCFCFC"/>
        </w:rPr>
        <w:t>前置总基调</w:t>
      </w:r>
    </w:p>
    <w:p w14:paraId="77CA475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42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CFCFC"/>
          <w:lang w:val="en-US" w:eastAsia="zh-CN" w:bidi="ar"/>
        </w:rPr>
        <w:t>本文属于</w:t>
      </w: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CFCFC"/>
          <w:lang w:val="en-US" w:eastAsia="zh-CN" w:bidi="ar"/>
        </w:rPr>
        <w:t>数值不确定性量化方法论类齿轮疲劳研究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CFCFC"/>
          <w:lang w:val="en-US" w:eastAsia="zh-CN" w:bidi="ar"/>
        </w:rPr>
        <w:t>，作者提前在 4.5 约束中坦诚了 Run-out 删失、无试验、载荷系数归一、ANOVA 假设未验证四大局限；但</w:t>
      </w: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CFCFC"/>
          <w:lang w:val="en-US" w:eastAsia="zh-CN" w:bidi="ar"/>
        </w:rPr>
        <w:t>坦诚缺陷≠缺陷不影响结论可信度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CFCFC"/>
          <w:lang w:val="en-US" w:eastAsia="zh-CN" w:bidi="ar"/>
        </w:rPr>
        <w:t>，IJF 作为疲劳顶刊，对删失疲劳数据统计、模型普适性、结论外推、统计严谨性有强制规范，作者四条回复全部存在逻辑漏洞、过度辩护、偷换概念、过度声称问题，下面逐条拆解。</w:t>
      </w:r>
    </w:p>
    <w:p w14:paraId="0505087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80" w:beforeAutospacing="0" w:after="240" w:afterAutospacing="0" w:line="420" w:lineRule="atLeast"/>
        <w:ind w:left="0" w:right="0"/>
        <w:rPr>
          <w:b/>
          <w:bCs/>
          <w:color w:val="000000"/>
          <w:sz w:val="27"/>
          <w:szCs w:val="27"/>
        </w:rPr>
      </w:pPr>
      <w:r>
        <w:rPr>
          <w:b/>
          <w:bCs/>
          <w:i w:val="0"/>
          <w:iCs w:val="0"/>
          <w:caps w:val="0"/>
          <w:color w:val="000000"/>
          <w:spacing w:val="0"/>
          <w:sz w:val="27"/>
          <w:szCs w:val="27"/>
          <w:bdr w:val="single" w:color="auto" w:sz="2" w:space="0"/>
          <w:shd w:val="clear" w:fill="FCFCFC"/>
        </w:rPr>
        <w:t>一、抗辩 1：用 Tobit / 生存分析替代 ANOVA 需要重跑全部管线，论文已坦白此缺陷</w:t>
      </w:r>
    </w:p>
    <w:p w14:paraId="7CC4CFBB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80" w:beforeAutospacing="0" w:after="240" w:afterAutospacing="0" w:line="420" w:lineRule="atLeast"/>
        <w:ind w:left="0" w:right="0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1）存在的核心矛盾 / 逻辑硬伤</w:t>
      </w:r>
    </w:p>
    <w:p w14:paraId="6866932F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120" w:afterAutospacing="0" w:line="360" w:lineRule="atLeast"/>
        <w:ind w:left="0" w:right="0" w:hanging="360"/>
      </w:pPr>
    </w:p>
    <w:p w14:paraId="4467AEB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42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CFCFC"/>
          <w:lang w:val="en-US" w:eastAsia="zh-CN" w:bidi="ar"/>
        </w:rPr>
        <w:t>“提前说明缺陷” 不能豁免统计方法误用带来的结论偏倚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CFCFC"/>
          <w:lang w:val="en-US" w:eastAsia="zh-CN" w:bidi="ar"/>
        </w:rPr>
        <w:t>作者仅在局限性一笔带过 Run-out 剔除，但全文</w:t>
      </w: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CFCFC"/>
          <w:lang w:val="en-US" w:eastAsia="zh-CN" w:bidi="ar"/>
        </w:rPr>
        <w:t>所有核心结论（31.1% 标准、30.9% 平均应力方差占比、两大主导因素并列）全部基于失真 ANOVA 输出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CFCFC"/>
          <w:lang w:val="en-US" w:eastAsia="zh-CN" w:bidi="ar"/>
        </w:rPr>
        <w:t>；摘要、引言、结论均直接使用该偏倚数值作为核心创新，未同步标注 “该方差占比仅针对有限寿命子集、系统性低估总变异”，属于</w:t>
      </w: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CFCFC"/>
          <w:lang w:val="en-US" w:eastAsia="zh-CN" w:bidi="ar"/>
        </w:rPr>
        <w:t>结论表述过度声称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CFCFC"/>
          <w:lang w:val="en-US" w:eastAsia="zh-CN" w:bidi="ar"/>
        </w:rPr>
        <w:t>。IJF 审稿共识：局限性章节仅用于披露边界，不能抵消主体结果存在系统性偏差；若核心定量指标依赖错误统计工具，必须修正，不能以 “我提前说了有问题” 为由保留错误结果。</w:t>
      </w:r>
    </w:p>
    <w:p w14:paraId="23F6EC7B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120" w:afterAutospacing="0" w:line="360" w:lineRule="atLeast"/>
        <w:ind w:left="0" w:right="0" w:hanging="360"/>
      </w:pPr>
    </w:p>
    <w:p w14:paraId="4C720AE7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120" w:afterAutospacing="0" w:line="360" w:lineRule="atLeast"/>
        <w:ind w:left="0" w:right="0" w:hanging="360"/>
      </w:pPr>
    </w:p>
    <w:p w14:paraId="1FB2C44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42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CFCFC"/>
          <w:lang w:val="en-US" w:eastAsia="zh-CN" w:bidi="ar"/>
        </w:rPr>
        <w:t>样本割裂造成内部论证自相矛盾</w:t>
      </w:r>
    </w:p>
    <w:p w14:paraId="4F285E8A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120" w:afterAutospacing="0" w:line="360" w:lineRule="atLeast"/>
        <w:ind w:left="0" w:right="0" w:hanging="360"/>
      </w:pPr>
    </w:p>
    <w:p w14:paraId="30DAE8D4">
      <w:pPr>
        <w:keepNext w:val="0"/>
        <w:keepLines w:val="0"/>
        <w:widowControl/>
        <w:numPr>
          <w:ilvl w:val="1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120" w:afterAutospacing="0" w:line="360" w:lineRule="atLeast"/>
        <w:ind w:left="0" w:righ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ANOVA 仅 116 组有限寿命；Run-out 二元 Logistic 回归使用完整 144 组；</w:t>
      </w:r>
    </w:p>
    <w:p w14:paraId="14A946B8">
      <w:pPr>
        <w:keepNext w:val="0"/>
        <w:keepLines w:val="0"/>
        <w:widowControl/>
        <w:numPr>
          <w:ilvl w:val="1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360" w:lineRule="atLeast"/>
        <w:ind w:left="0" w:righ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原文结论 “决定寿命长短的因素与决定是否 Run-out 的因素基本一致” 建立在两套不同样本集上，逻辑断裂；生存 / Tobit 模型可统一使用全部 144 组数据，同步解释 “是否失效 + 失效循环数”，彻底消除样本割裂，作者以 “重跑工作量大” 拒绝修正，属于避重就轻。</w:t>
      </w:r>
    </w:p>
    <w:p w14:paraId="2E759C34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120" w:afterAutospacing="0" w:line="360" w:lineRule="atLeast"/>
        <w:ind w:left="0" w:right="0" w:hanging="360"/>
      </w:pPr>
    </w:p>
    <w:p w14:paraId="0F86E9D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42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CFCFC"/>
          <w:lang w:val="en-US" w:eastAsia="zh-CN" w:bidi="ar"/>
        </w:rPr>
        <w:t>行业标准对疲劳删失数据有明确强制要求，不存在 “可简化处理” 例外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CFCFC"/>
          <w:lang w:val="en-US" w:eastAsia="zh-CN" w:bidi="ar"/>
        </w:rPr>
        <w:t>International Journal of Fatigue、Fatigue &amp; Fracture of Engineering Materials &amp; Structures 近 5 年所有含 Run-out 疲劳 UQ 论文，统一采用</w:t>
      </w: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CFCFC"/>
          <w:lang w:val="en-US" w:eastAsia="zh-CN" w:bidi="ar"/>
        </w:rPr>
        <w:t>Cox 生存混合模型、Tobit 回归、极大似然全因子删失模型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CFCFC"/>
          <w:lang w:val="en-US" w:eastAsia="zh-CN" w:bidi="ar"/>
        </w:rPr>
        <w:t>；普通 ANOVA 丢弃右删失样本仅允许用于探索性预计算，</w:t>
      </w: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CFCFC"/>
          <w:lang w:val="en-US" w:eastAsia="zh-CN" w:bidi="ar"/>
        </w:rPr>
        <w:t>禁止作为全文定量分解的核心统计工具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CFCFC"/>
          <w:lang w:val="en-US" w:eastAsia="zh-CN" w:bidi="ar"/>
        </w:rPr>
        <w:t>。</w:t>
      </w:r>
    </w:p>
    <w:p w14:paraId="70C5CFC6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120" w:afterAutospacing="0" w:line="360" w:lineRule="atLeast"/>
        <w:ind w:left="0" w:right="0" w:hanging="360"/>
      </w:pPr>
    </w:p>
    <w:p w14:paraId="7CEE26DE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360" w:lineRule="atLeast"/>
        <w:ind w:left="0" w:right="0" w:hanging="360"/>
      </w:pPr>
    </w:p>
    <w:p w14:paraId="0D6C60A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42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CFCFC"/>
          <w:lang w:val="en-US" w:eastAsia="zh-CN" w:bidi="ar"/>
        </w:rPr>
        <w:t>“重跑管线工作量大” 不构成学术豁免理由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CFCFC"/>
          <w:lang w:val="en-US" w:eastAsia="zh-CN" w:bidi="ar"/>
        </w:rPr>
        <w:t>数值仿真类论文的可复现性、统计严谨性是录用底线；工作量成本属于作者研究设计阶段应预判的问题，不能作为期刊放宽评审标准的依据。</w:t>
      </w:r>
    </w:p>
    <w:p w14:paraId="7F83FFF7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360" w:lineRule="atLeast"/>
        <w:ind w:left="0" w:right="0" w:hanging="360"/>
      </w:pPr>
    </w:p>
    <w:p w14:paraId="0DA9352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80" w:beforeAutospacing="0" w:after="240" w:afterAutospacing="0" w:line="420" w:lineRule="atLeast"/>
        <w:ind w:left="0" w:right="0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2）折中评审意见（不拒稿，但必须大修）</w:t>
      </w:r>
    </w:p>
    <w:p w14:paraId="012EC4B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42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CFCFC"/>
          <w:lang w:val="en-US" w:eastAsia="zh-CN" w:bidi="ar"/>
        </w:rPr>
        <w:t>作者可二选一整改：① 完整替换为 Tobit / 生存全因子模型，重新输出方差分解占比，更新所有图表、摘要、结论；② 若坚持保留现有 ANOVA，必须</w:t>
      </w: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CFCFC"/>
          <w:lang w:val="en-US" w:eastAsia="zh-CN" w:bidi="ar"/>
        </w:rPr>
        <w:t>大幅降级核心结论表述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CFCFC"/>
          <w:lang w:val="en-US" w:eastAsia="zh-CN" w:bidi="ar"/>
        </w:rPr>
        <w:t>：删除 “标准与平均应力为两大同等主导因素” 的强断言，全文所有方差百分比标注 “仅针对 116 组有限寿命样本，剔除 28 组 Run-out 存在系统性低估”，新增一套生存分析作为补充对比结果，量化展示 ANOVA 带来的偏差幅度。</w:t>
      </w:r>
    </w:p>
    <w:p w14:paraId="144239C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80" w:beforeAutospacing="0" w:after="240" w:afterAutospacing="0" w:line="420" w:lineRule="atLeast"/>
        <w:ind w:left="0" w:right="0"/>
        <w:rPr>
          <w:b/>
          <w:bCs/>
          <w:color w:val="000000"/>
          <w:sz w:val="27"/>
          <w:szCs w:val="27"/>
        </w:rPr>
      </w:pPr>
      <w:r>
        <w:rPr>
          <w:b/>
          <w:bCs/>
          <w:i w:val="0"/>
          <w:iCs w:val="0"/>
          <w:caps w:val="0"/>
          <w:color w:val="000000"/>
          <w:spacing w:val="0"/>
          <w:sz w:val="27"/>
          <w:szCs w:val="27"/>
          <w:bdr w:val="single" w:color="auto" w:sz="2" w:space="0"/>
          <w:shd w:val="clear" w:fill="FCFCFC"/>
        </w:rPr>
        <w:t>二、抗辩 2：载荷系数敏感性分析属于另一篇论文，本文不做</w:t>
      </w:r>
    </w:p>
    <w:p w14:paraId="59F035B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80" w:beforeAutospacing="0" w:after="240" w:afterAutospacing="0" w:line="420" w:lineRule="atLeast"/>
        <w:ind w:left="0" w:right="0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1）存在不一致与研究定位冲突</w:t>
      </w:r>
    </w:p>
    <w:p w14:paraId="554415B6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120" w:afterAutospacing="0" w:line="360" w:lineRule="atLeast"/>
        <w:ind w:left="0" w:right="0" w:hanging="360"/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标题、引言存在过度声称，研究范围前后矛盾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标题关键词：</w:t>
      </w:r>
      <w:r>
        <w:rPr>
          <w:rStyle w:val="9"/>
          <w:rFonts w:hint="default" w:ascii="Segoe UI Emoji" w:hAnsi="Segoe UI Emoji" w:eastAsia="Segoe UI Emoji" w:cs="Segoe UI Emoji"/>
          <w:i/>
          <w:iCs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Five Engineering Choices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，引言声称研究面向</w:t>
      </w: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工业工程师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，旨在量化工程设计全流程方法不确定性；但工业齿轮设计必须考虑动载、冲击、装配偏差（\(K_A、K_V\)等载荷系数），作者人为将全部载荷系数置 1，却拒绝论证该简化对因子排序的影响，出现</w:t>
      </w: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研究目标与建模假设割裂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。</w:t>
      </w:r>
    </w:p>
    <w:p w14:paraId="7DE81CAC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120" w:afterAutospacing="0" w:line="360" w:lineRule="atLeast"/>
        <w:ind w:left="0" w:right="0" w:hanging="360"/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“留到另一篇论文” 属于拆分研究、回避核心质疑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载荷系数并非全新独立研究维度，只是现有模型的一组参数，仅需增加 2 组工况（\(K_A=1.25/1.5\)）即可完成敏感性校验，计算成本极低，不属于需要单独成稿的完整课题；作者以此为由拒绝补充，属于刻意回避模型普适性缺陷。</w:t>
      </w:r>
    </w:p>
    <w:p w14:paraId="0AE10688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360" w:lineRule="atLeast"/>
        <w:ind w:left="0" w:right="0" w:hanging="360"/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工况依赖性结论不完整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原文 3.5 专门论证 “扭矩改变会改变因子权重排序”，证明作者认可</w:t>
      </w: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工况参数会改变方差分解结果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；但唯独跳过载荷系数这一工业核心变量，论证体系出现明显缺口，逻辑不自洽。</w:t>
      </w:r>
    </w:p>
    <w:p w14:paraId="6D2BEA3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80" w:beforeAutospacing="0" w:after="240" w:afterAutospacing="0" w:line="420" w:lineRule="atLeast"/>
        <w:ind w:left="0" w:right="0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2）评审整改要求（强制大修，无豁免空间）</w:t>
      </w:r>
    </w:p>
    <w:p w14:paraId="73F15F3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42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CFCFC"/>
          <w:lang w:val="en-US" w:eastAsia="zh-CN" w:bidi="ar"/>
        </w:rPr>
        <w:t>无需完整拓展为独立研究，但必须补充极简敏感性分析：仅增加一组冲击工况（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CFCFC"/>
          <w:lang w:val="en-US" w:eastAsia="zh-CN" w:bidi="ar"/>
        </w:rPr>
        <w:t>\(K_A=1.5\)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CFCFC"/>
          <w:lang w:val="en-US" w:eastAsia="zh-CN" w:bidi="ar"/>
        </w:rPr>
        <w:t>，其余载荷系数统一非 1），对比展示五大方法因子方差占比变化，在讨论中明确：载荷波动会如何改变本文结论，清晰界定当前理想载荷假设下结论的适用边界。该工作仅需少量遍历，不构成额外大工作量。</w:t>
      </w:r>
    </w:p>
    <w:p w14:paraId="3D6A1E57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80" w:beforeAutospacing="0" w:after="240" w:afterAutospacing="0" w:line="420" w:lineRule="atLeast"/>
        <w:ind w:left="0" w:right="0"/>
        <w:rPr>
          <w:b/>
          <w:bCs/>
          <w:color w:val="000000"/>
          <w:sz w:val="27"/>
          <w:szCs w:val="27"/>
        </w:rPr>
      </w:pPr>
      <w:r>
        <w:rPr>
          <w:b/>
          <w:bCs/>
          <w:i w:val="0"/>
          <w:iCs w:val="0"/>
          <w:caps w:val="0"/>
          <w:color w:val="000000"/>
          <w:spacing w:val="0"/>
          <w:sz w:val="27"/>
          <w:szCs w:val="27"/>
          <w:bdr w:val="single" w:color="auto" w:sz="2" w:space="0"/>
          <w:shd w:val="clear" w:fill="FCFCFC"/>
        </w:rPr>
        <w:t>三、抗辩 3：已明确声明不声称实验验证，无需补充试验</w:t>
      </w:r>
    </w:p>
    <w:p w14:paraId="203E5E3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80" w:beforeAutospacing="0" w:after="240" w:afterAutospacing="0" w:line="420" w:lineRule="atLeast"/>
        <w:ind w:left="0" w:right="0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1）该抗辩成立，但存在配套短板需补充完善</w:t>
      </w:r>
    </w:p>
    <w:p w14:paraId="0F3C3257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120" w:afterAutospacing="0" w:line="360" w:lineRule="atLeast"/>
        <w:ind w:left="0" w:right="0" w:hanging="360"/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合理部分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作者在 4.5 第 6 点清晰标注 “纯数值仿真，无试验验证，不评估预测精度，仅量化方法带来的离散性”，全文未出现任何 “本模型与试验吻合” 类虚假表述，</w:t>
      </w: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不存在虚假论证、循环论证问题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，这条质疑可大幅放宽。</w:t>
      </w:r>
    </w:p>
    <w:p w14:paraId="52C79110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360" w:lineRule="atLeast"/>
        <w:ind w:left="0" w:right="0" w:hanging="360"/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仍需补足的短板（不做试验，但要做文献对标校准）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虽然不用自行开展齿轮疲劳试验，但当前仅零散引用多篇文献，未完成</w:t>
      </w: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统一对标复现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：选取 1 篇公开 42CrMo 齿轮弯曲疲劳试验文献，使用本文完整计算管线复现预测寿命，量化 ISO/AGMA/FKM 三种标准与试验数据的固有偏差；目的：区分两类不确定性 ——① 工程师方法选择带来的离散（本文核心）；② 标准解析模型本身与真实试验的系统误差。当前论文完全混淆两类不确定性，易误导读者把 “标准固有偏差” 全部归为 “人为方法选择偏差”，属于论证不完整。</w:t>
      </w:r>
    </w:p>
    <w:p w14:paraId="58334CB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80" w:beforeAutospacing="0" w:after="240" w:afterAutospacing="0" w:line="420" w:lineRule="atLeast"/>
        <w:ind w:left="0" w:right="0"/>
        <w:rPr>
          <w:b/>
          <w:bCs/>
          <w:color w:val="000000"/>
          <w:sz w:val="27"/>
          <w:szCs w:val="27"/>
        </w:rPr>
      </w:pPr>
      <w:r>
        <w:rPr>
          <w:b/>
          <w:bCs/>
          <w:i w:val="0"/>
          <w:iCs w:val="0"/>
          <w:caps w:val="0"/>
          <w:color w:val="000000"/>
          <w:spacing w:val="0"/>
          <w:sz w:val="27"/>
          <w:szCs w:val="27"/>
          <w:bdr w:val="single" w:color="auto" w:sz="2" w:space="0"/>
          <w:shd w:val="clear" w:fill="FCFCFC"/>
        </w:rPr>
        <w:t>四、抗辩 4：方法论论文不需要 Q-Q 图、Levene 方差齐性检验</w:t>
      </w:r>
    </w:p>
    <w:p w14:paraId="63165FD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80" w:beforeAutospacing="0" w:after="240" w:afterAutospacing="0" w:line="420" w:lineRule="atLeast"/>
        <w:ind w:left="0" w:right="0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1）严重违背 IJF 统计评审规范，抗辩完全不成立</w:t>
      </w:r>
    </w:p>
    <w:p w14:paraId="22D64DE5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120" w:afterAutospacing="0" w:line="360" w:lineRule="atLeast"/>
        <w:ind w:left="0" w:right="0" w:hanging="360"/>
      </w:pPr>
    </w:p>
    <w:p w14:paraId="7DC6B29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42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CFCFC"/>
          <w:lang w:val="en-US" w:eastAsia="zh-CN" w:bidi="ar"/>
        </w:rPr>
        <w:t>区分两类方法论论文：纯统计方法开发 VS 工程案例应用统计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CFCFC"/>
          <w:lang w:val="en-US" w:eastAsia="zh-CN" w:bidi="ar"/>
        </w:rPr>
        <w:t>本文不属于纯粹统计学方法创新（无新 ANOVA / 方差分解算法），而是</w:t>
      </w: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CFCFC"/>
          <w:lang w:val="en-US" w:eastAsia="zh-CN" w:bidi="ar"/>
        </w:rPr>
        <w:t>将成熟全因子 ANOVA 应用于齿轮疲劳工程问题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CFCFC"/>
          <w:lang w:val="en-US" w:eastAsia="zh-CN" w:bidi="ar"/>
        </w:rPr>
        <w:t>，属于工程应用类数值研究；IJF 明确要求：所有采用线性模型（ANOVA、线性回归）的工程疲劳论文，必须验证正态性、方差齐性两大前提假设，不存在 “方法论论文豁免” 规则。只有原创统计学方法推导类稿件，才可以省略基础假设检验；本文只是套用现成方差分解工具，无豁免资格。</w:t>
      </w:r>
    </w:p>
    <w:p w14:paraId="21FA53F4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120" w:afterAutospacing="0" w:line="360" w:lineRule="atLeast"/>
        <w:ind w:left="0" w:right="0" w:hanging="360"/>
      </w:pPr>
    </w:p>
    <w:p w14:paraId="1E7667A2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120" w:afterAutospacing="0" w:line="360" w:lineRule="atLeast"/>
        <w:ind w:left="0" w:right="0" w:hanging="360"/>
      </w:pPr>
    </w:p>
    <w:p w14:paraId="0A04016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42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CFCFC"/>
          <w:lang w:val="en-US" w:eastAsia="zh-CN" w:bidi="ar"/>
        </w:rPr>
        <w:t>原文数据明显存在异方差，直接影响 F 值与方差占比可信度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CFCFC"/>
          <w:lang w:val="en-US" w:eastAsia="zh-CN" w:bidi="ar"/>
        </w:rPr>
        <w:t>图 1 小提琴图清晰可见：ISO、AGMA、FKM 三组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CFCFC"/>
          <w:lang w:val="en-US" w:eastAsia="zh-CN" w:bidi="ar"/>
        </w:rPr>
        <w:t>\(log_{10}(N_f)\)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CFCFC"/>
          <w:lang w:val="en-US" w:eastAsia="zh-CN" w:bidi="ar"/>
        </w:rPr>
        <w:t>分布宽度差异巨大；粗糙表面与光滑表面寿命离散度完全不同，天然存在方差不齐；若不做 Levene 检验、残差 Q-Q 图，读者无法判断 ANOVA 结果失真程度，定量结论可信度大打折扣。</w:t>
      </w:r>
    </w:p>
    <w:p w14:paraId="56867BB0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120" w:afterAutospacing="0" w:line="360" w:lineRule="atLeast"/>
        <w:ind w:left="0" w:right="0" w:hanging="360"/>
      </w:pPr>
    </w:p>
    <w:p w14:paraId="04C23991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360" w:lineRule="atLeast"/>
        <w:ind w:left="0" w:right="0" w:hanging="360"/>
      </w:pPr>
    </w:p>
    <w:p w14:paraId="0F6B2BA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42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CFCFC"/>
          <w:lang w:val="en-US" w:eastAsia="zh-CN" w:bidi="ar"/>
        </w:rPr>
        <w:t>无假设检验属于统计流程缺失，不是可忽略细节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CFCFC"/>
          <w:lang w:val="en-US" w:eastAsia="zh-CN" w:bidi="ar"/>
        </w:rPr>
        <w:t>ANOVA 是参数模型，正态 + 齐性是结果有效的前置条件，不验证等于无法证明核心定量数据可靠；即便作者不想大幅修改模型，最少需要补充残差检验附图，在讨论中说明异方差对本文方差百分比的扰动范围，不能直接跳过。</w:t>
      </w:r>
    </w:p>
    <w:p w14:paraId="5144EC1C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360" w:lineRule="atLeast"/>
        <w:ind w:left="0" w:right="0" w:hanging="360"/>
      </w:pPr>
    </w:p>
    <w:p w14:paraId="7EECFD9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80" w:beforeAutospacing="0" w:after="240" w:afterAutospacing="0" w:line="420" w:lineRule="atLeast"/>
        <w:ind w:left="0" w:right="0"/>
        <w:rPr>
          <w:b/>
          <w:bCs/>
          <w:color w:val="000000"/>
          <w:sz w:val="27"/>
          <w:szCs w:val="27"/>
        </w:rPr>
      </w:pPr>
      <w:r>
        <w:rPr>
          <w:b/>
          <w:bCs/>
          <w:i w:val="0"/>
          <w:iCs w:val="0"/>
          <w:caps w:val="0"/>
          <w:color w:val="000000"/>
          <w:spacing w:val="0"/>
          <w:sz w:val="27"/>
          <w:szCs w:val="27"/>
          <w:bdr w:val="single" w:color="auto" w:sz="2" w:space="0"/>
          <w:shd w:val="clear" w:fill="FCFCFC"/>
        </w:rPr>
        <w:t>五、汇总全文存在的其余隐蔽问题（虚假 / 矛盾 / 过度声称 / 循环论证）</w:t>
      </w:r>
    </w:p>
    <w:p w14:paraId="36849A3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80" w:beforeAutospacing="0" w:after="240" w:afterAutospacing="0" w:line="420" w:lineRule="atLeast"/>
        <w:ind w:left="0" w:right="0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1. 过度声称（最突出）</w:t>
      </w:r>
    </w:p>
    <w:p w14:paraId="0528E96E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120" w:afterAutospacing="0" w:line="360" w:lineRule="atLeast"/>
        <w:ind w:left="0" w:righ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摘要：</w:t>
      </w:r>
      <w:r>
        <w:rPr>
          <w:rStyle w:val="9"/>
          <w:rFonts w:hint="default" w:ascii="Segoe UI Emoji" w:hAnsi="Segoe UI Emoji" w:eastAsia="Segoe UI Emoji" w:cs="Segoe UI Emoji"/>
          <w:i/>
          <w:iCs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No prior work has ranked the sources of method-induced divergence in gear fatigue life prediction by variance explained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文献中存在单标准对比、单因素敏感性分解研究，只是未采用五因素全因子框架；“No prior work” 绝对化表述属于过度夸大创新，需软化表述。</w:t>
      </w:r>
    </w:p>
    <w:p w14:paraId="652F861F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120" w:afterAutospacing="0" w:line="360" w:lineRule="atLeast"/>
        <w:ind w:left="0" w:righ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结论宣称 “标准与平均应力修正同等重要”，但交互项 Standard×Rz 高度显著，主效应解读存在误导，属于结论过度简化、过度声称。</w:t>
      </w:r>
    </w:p>
    <w:p w14:paraId="5B10684A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360" w:lineRule="atLeast"/>
        <w:ind w:left="0" w:righ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开篇标语：</w:t>
      </w:r>
      <w:r>
        <w:rPr>
          <w:rStyle w:val="9"/>
          <w:rFonts w:hint="default" w:ascii="Segoe UI Emoji" w:hAnsi="Segoe UI Emoji" w:eastAsia="Segoe UI Emoji" w:cs="Segoe UI Emoji"/>
          <w:i/>
          <w:iCs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A gear’s fatigue life is not a property of the gear. It is a property of the handbook the engineer opens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，文学化极端表述，忽略材料、制造、载荷固有离散，夸大方法选择的影响权重。</w:t>
      </w:r>
    </w:p>
    <w:p w14:paraId="0E64C56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80" w:beforeAutospacing="0" w:after="240" w:afterAutospacing="0" w:line="420" w:lineRule="atLeast"/>
        <w:ind w:left="0" w:right="0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2. 内在逻辑不一致</w:t>
      </w:r>
    </w:p>
    <w:p w14:paraId="0B751CFD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120" w:afterAutospacing="0" w:line="360" w:lineRule="atLeast"/>
        <w:ind w:left="0" w:righ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应力集中建模不对称（核心工程矛盾）统一使用 ISO 专属\(Y_{Sa}\)计算三种标准齿根应力，AGMA、FKM 原生计算框架无该系数，人为拉大标准间预测差值，抬高 “标准选择” 方差占比；作者仅一笔带过该简化，未量化该建模不对称带来的偏差，计算基准不一致。</w:t>
      </w:r>
    </w:p>
    <w:p w14:paraId="07ED5424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360" w:lineRule="atLeast"/>
        <w:ind w:left="0" w:righ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粗糙度外推矛盾ISO 公式仅适用\(Rz≤40μm\)，研究使用\(Rz=50μm\)锻件表面，仅文字说明封顶，但未量化外推带来的寿命偏移，会放大粗糙度因子方差贡献。</w:t>
      </w:r>
    </w:p>
    <w:p w14:paraId="66E4962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80" w:beforeAutospacing="0" w:after="240" w:afterAutospacing="0" w:line="420" w:lineRule="atLeast"/>
        <w:ind w:left="0" w:right="0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3. 无循环论证、无学术虚假 / 数据造假</w:t>
      </w:r>
    </w:p>
    <w:p w14:paraId="2116D52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42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CFCFC"/>
          <w:lang w:val="en-US" w:eastAsia="zh-CN" w:bidi="ar"/>
        </w:rPr>
        <w:t>全文公式均对标 ISO/AGMA/FKM 原版规范，S-N 数据来自公开数据库，数值遍历逻辑闭环，无自证自洽的循环论证；所有数值结果可通过管线复现，不存在编造数据、虚假曲线等学术不端行为。</w:t>
      </w:r>
    </w:p>
    <w:p w14:paraId="22883C71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80" w:beforeAutospacing="0" w:after="240" w:afterAutospacing="0" w:line="420" w:lineRule="atLeast"/>
        <w:ind w:left="0" w:right="0"/>
        <w:rPr>
          <w:b/>
          <w:bCs/>
          <w:color w:val="000000"/>
          <w:sz w:val="27"/>
          <w:szCs w:val="27"/>
        </w:rPr>
      </w:pPr>
      <w:r>
        <w:rPr>
          <w:b/>
          <w:bCs/>
          <w:i w:val="0"/>
          <w:iCs w:val="0"/>
          <w:caps w:val="0"/>
          <w:color w:val="000000"/>
          <w:spacing w:val="0"/>
          <w:sz w:val="27"/>
          <w:szCs w:val="27"/>
          <w:bdr w:val="single" w:color="auto" w:sz="2" w:space="0"/>
          <w:shd w:val="clear" w:fill="FCFCFC"/>
        </w:rPr>
        <w:t>六、最终综合评审定级（给主编正式意见）</w:t>
      </w:r>
    </w:p>
    <w:p w14:paraId="0FE6992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80" w:beforeAutospacing="0" w:after="240" w:afterAutospacing="0" w:line="420" w:lineRule="atLeast"/>
        <w:ind w:left="0" w:right="0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整体定级：Major Revision（大修，不可小幅修改接收，无直接拒稿依据）</w:t>
      </w:r>
    </w:p>
    <w:p w14:paraId="5079EBC2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120" w:afterAutospacing="0" w:line="360" w:lineRule="atLeast"/>
        <w:ind w:left="0" w:righ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可谅解缺陷：作者主动披露全部简化假设、无试验验证、Run-out 剔除问题，不存在刻意隐瞒缺陷；无数据造假、无循环论证；</w:t>
      </w:r>
    </w:p>
    <w:p w14:paraId="316BB844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120" w:afterAutospacing="0" w:line="360" w:lineRule="atLeast"/>
        <w:ind w:left="0" w:righ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必须强制整改项（缺一不可，否则直接拒稿）：（1）统计层面：补充残差正态 Q-Q 图、Levene 齐性检验；要么替换 Tobit / 生存分析重跑方差分解，要么大幅弱化核心定量结论并补充删失偏差量化；（2）工程建模：补充载荷系数简易敏感性分析；量化\(Y_{Sa}\)统一建模、Rz=50μm 外推带来的计算偏差；（3）行文表述：删除所有绝对化、过度夸大创新的语句，限定结论适用边界，修正交互显著下单独解读主效应的片面结论；</w:t>
      </w:r>
    </w:p>
    <w:p w14:paraId="4A113EAB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360" w:lineRule="atLeast"/>
        <w:ind w:left="0" w:righ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宽松处理项：无需自行开展齿轮疲劳试验，仅补充已有文献对标复现即可；载荷系数无需拓展为独立完整研究，仅基础敏感性校验。</w:t>
      </w:r>
    </w:p>
    <w:p w14:paraId="7FF79352">
      <w:pPr>
        <w:rPr>
          <w:rFonts w:hint="eastAsia" w:ascii="Segoe UI" w:hAnsi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  <w:lang w:val="en-US" w:eastAsia="zh-CN"/>
        </w:rPr>
      </w:pPr>
    </w:p>
    <w:p w14:paraId="38C886DD">
      <w:pPr>
        <w:rPr>
          <w:rFonts w:hint="default" w:ascii="Segoe UI" w:hAnsi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  <w:lang w:val="en-US" w:eastAsia="zh-CN"/>
        </w:rPr>
      </w:pPr>
    </w:p>
    <w:p w14:paraId="64F38AE4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eastAsia" w:ascii="Segoe UI" w:hAnsi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  <w:lang w:val="en-US" w:eastAsia="zh-CN"/>
        </w:rPr>
      </w:pPr>
    </w:p>
    <w:p w14:paraId="6BD0D57D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  <w:lang w:val="en-US" w:eastAsia="zh-CN"/>
        </w:rPr>
        <w:t>审稿人 DS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  <w:lang w:val="en-US" w:eastAsia="zh-CN"/>
        </w:rPr>
        <w:br w:type="textWrapping"/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  <w:lang w:val="en-US" w:eastAsia="zh-CN"/>
        </w:rPr>
        <w:br w:type="textWrapping"/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一、必须修正（阻塞性文字/格式错误）</w:t>
      </w:r>
    </w:p>
    <w:p w14:paraId="1777F700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 摘要中存在不完整/截断的句子 ❗</w:t>
      </w:r>
    </w:p>
    <w:p w14:paraId="4CD7ED39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位置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：摘要第 10–12 行（PDF 第 1 页）。</w:t>
      </w:r>
    </w:p>
    <w:p w14:paraId="6C116B4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"...full-factorial ANOVA over 144 combinations28 run-out size-and-surface standard accounts for 31.1%..."</w:t>
      </w:r>
    </w:p>
    <w:p w14:paraId="66CBC4F7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：数字与文字之间缺少标点和空格，句子结构破碎。应为：</w:t>
      </w:r>
    </w:p>
    <w:p w14:paraId="7828492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"...full-factorial ANOVA over 144 combinations (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116 finite-life entries, 28 run-outs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) shows that the size-and-surface standard accounts for 31.1%..."</w:t>
      </w:r>
    </w:p>
    <w:p w14:paraId="0C8506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pict>
          <v:rect id="_x0000_i1025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CEF6F4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 摘要末尾句子未完成 ❗</w:t>
      </w:r>
    </w:p>
    <w:p w14:paraId="17F22283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位置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：摘要最后一句（PDF 第 1 页）。</w:t>
      </w:r>
    </w:p>
    <w:p w14:paraId="553B8CE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"...span from </w:t>
      </w:r>
      <w:r>
        <w:rPr>
          <w:rFonts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3.3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×102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3.3×10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to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3.1×107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3.1×10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7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cycles (5.0 dexaigant the original standards..."</w:t>
      </w:r>
    </w:p>
    <w:p w14:paraId="07D81F4F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："dex" 与 "against" 之间的文本被截断/错误合并。"dexaigant" 应为 "dex). All formulas have been verified against"。</w:t>
      </w:r>
    </w:p>
    <w:p w14:paraId="19D83E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6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0CC75F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 表 2 中 </w:t>
      </w:r>
      <w:r>
        <w:rPr>
          <w:rFonts w:hint="default" w:ascii="Times New Roman" w:hAnsi="Times New Roman" w:eastAsia="Times New Roman" w:cs="Times New Roman"/>
          <w:b/>
          <w:bCs/>
          <w:caps w:val="0"/>
          <w:color w:val="0F1115"/>
          <w:spacing w:val="0"/>
          <w:sz w:val="25"/>
          <w:szCs w:val="25"/>
          <w:shd w:val="clear" w:fill="FFFFFF"/>
        </w:rPr>
        <w:t>p</w:t>
      </w:r>
      <w:r>
        <w:rPr>
          <w:rFonts w:ascii="KaTeX_Math" w:hAnsi="KaTeX_Math" w:eastAsia="KaTeX_Math" w:cs="KaTeX_Math"/>
          <w:b/>
          <w:bCs/>
          <w:i/>
          <w:iCs/>
          <w:caps w:val="0"/>
          <w:color w:val="0F1115"/>
          <w:spacing w:val="0"/>
          <w:sz w:val="25"/>
          <w:szCs w:val="25"/>
          <w:shd w:val="clear" w:fill="FFFFFF"/>
        </w:rPr>
        <w:t>p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 值的排版错误</w:t>
      </w:r>
    </w:p>
    <w:p w14:paraId="3361706A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位置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：表 2（PDF 第 5 页）。</w:t>
      </w:r>
    </w:p>
    <w:p w14:paraId="50F08F3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Style w:val="10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&amp;lt; 10-15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和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&amp;lt; 10-15</w:t>
      </w:r>
    </w:p>
    <w:p w14:paraId="6D21CFCE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这是 LaTeX/HTML 转义残留。应为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&lt; 10^{-15}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5A4027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385B37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4. 第 3.7 节开头句子结构断裂</w:t>
      </w:r>
    </w:p>
    <w:p w14:paraId="16217E0F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位置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：PDF 第 7 页，§3.7 第一句。</w:t>
      </w:r>
    </w:p>
    <w:p w14:paraId="2860A5E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"Bootstrap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95%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95%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confidence intervals confirm the top-two factor ranking is stable under resampling.[18.9, 44.2]) and mean-stress correction..."</w:t>
      </w:r>
    </w:p>
    <w:p w14:paraId="1B9CD189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：CI 范围被错误地拼接到句子中间。应为：</w:t>
      </w:r>
    </w:p>
    <w:p w14:paraId="42F19E2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"Bootstrap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95%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95%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confidence intervals confirm the top-two factor ranking is stable. Standard choice (mean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31.6%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31.6%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95% CI [18.9, 44.2]) and mean-stress correction (mean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32.4%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32.4%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CI [19.9, 45.3]) have overlapping CIs."</w:t>
      </w:r>
    </w:p>
    <w:p w14:paraId="4B4E1B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7032F6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二、建议修改（非阻塞性，但可提升最终质量）</w:t>
      </w:r>
    </w:p>
    <w:p w14:paraId="724E2393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5. 第 3.5 节的多扭矩表格——建议添加明确的 </w:t>
      </w:r>
      <w:r>
        <w:rPr>
          <w:rFonts w:hint="default" w:ascii="Times New Roman" w:hAnsi="Times New Roman" w:eastAsia="Times New Roman" w:cs="Times New Roman"/>
          <w:b/>
          <w:bCs/>
          <w:caps w:val="0"/>
          <w:color w:val="0F1115"/>
          <w:spacing w:val="0"/>
          <w:sz w:val="25"/>
          <w:szCs w:val="25"/>
          <w:shd w:val="clear" w:fill="FFFFFF"/>
        </w:rPr>
        <w:t>Nf</w:t>
      </w:r>
      <w:r>
        <w:rPr>
          <w:rFonts w:hint="default" w:ascii="KaTeX_Math" w:hAnsi="KaTeX_Math" w:eastAsia="KaTeX_Math" w:cs="KaTeX_Math"/>
          <w:b/>
          <w:bCs/>
          <w:i/>
          <w:iCs/>
          <w:caps w:val="0"/>
          <w:color w:val="0F1115"/>
          <w:spacing w:val="0"/>
          <w:sz w:val="25"/>
          <w:szCs w:val="25"/>
          <w:shd w:val="clear" w:fill="FFFFFF"/>
        </w:rPr>
        <w:t>N</w:t>
      </w:r>
      <w:r>
        <w:rPr>
          <w:rFonts w:hint="default" w:ascii="KaTeX_Math" w:hAnsi="KaTeX_Math" w:eastAsia="KaTeX_Math" w:cs="KaTeX_Math"/>
          <w:b/>
          <w:bCs/>
          <w:i/>
          <w:iCs/>
          <w:caps w:val="0"/>
          <w:color w:val="0F1115"/>
          <w:spacing w:val="0"/>
          <w:sz w:val="14"/>
          <w:szCs w:val="14"/>
          <w:shd w:val="clear" w:fill="FFFFFF"/>
        </w:rPr>
        <w:t>f</w:t>
      </w:r>
      <w:r>
        <w:rPr>
          <w:rFonts w:hint="default" w:ascii="Times New Roman" w:hAnsi="Times New Roman" w:eastAsia="Times New Roman" w:cs="Times New Roman"/>
          <w:b/>
          <w:bCs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 范围</w:t>
      </w:r>
    </w:p>
    <w:p w14:paraId="53E7D49D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当前表格仅报告了方差百分比。建议在表格下方或注释中添加各扭矩下的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总有限寿命条目数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（已在表中给出，但可突出显示）和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对数跨度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，以帮助读者理解在不同扭矩下预测分散性的绝对大小。</w:t>
      </w:r>
    </w:p>
    <w:p w14:paraId="61D7FD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4E0EF5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6. FKM </w:t>
      </w:r>
      <w:r>
        <w:rPr>
          <w:rFonts w:hint="default" w:ascii="Times New Roman" w:hAnsi="Times New Roman" w:eastAsia="Times New Roman" w:cs="Times New Roman"/>
          <w:b/>
          <w:bCs/>
          <w:caps w:val="0"/>
          <w:color w:val="0F1115"/>
          <w:spacing w:val="0"/>
          <w:sz w:val="25"/>
          <w:szCs w:val="25"/>
          <w:shd w:val="clear" w:fill="FFFFFF"/>
        </w:rPr>
        <w:t>Kd</w:t>
      </w:r>
      <w:r>
        <w:rPr>
          <w:rFonts w:hint="default" w:ascii="KaTeX_Math" w:hAnsi="KaTeX_Math" w:eastAsia="KaTeX_Math" w:cs="KaTeX_Math"/>
          <w:b/>
          <w:bCs/>
          <w:i/>
          <w:iCs/>
          <w:caps w:val="0"/>
          <w:color w:val="0F1115"/>
          <w:spacing w:val="0"/>
          <w:sz w:val="25"/>
          <w:szCs w:val="25"/>
          <w:shd w:val="clear" w:fill="FFFFFF"/>
        </w:rPr>
        <w:t>K</w:t>
      </w:r>
      <w:r>
        <w:rPr>
          <w:rFonts w:hint="default" w:ascii="KaTeX_Math" w:hAnsi="KaTeX_Math" w:eastAsia="KaTeX_Math" w:cs="KaTeX_Math"/>
          <w:b/>
          <w:bCs/>
          <w:i/>
          <w:iCs/>
          <w:caps w:val="0"/>
          <w:color w:val="0F1115"/>
          <w:spacing w:val="0"/>
          <w:sz w:val="14"/>
          <w:szCs w:val="14"/>
          <w:shd w:val="clear" w:fill="FFFFFF"/>
        </w:rPr>
        <w:t>d</w:t>
      </w:r>
      <w:r>
        <w:rPr>
          <w:rFonts w:hint="default" w:ascii="Times New Roman" w:hAnsi="Times New Roman" w:eastAsia="Times New Roman" w:cs="Times New Roman"/>
          <w:b/>
          <w:bCs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 公式——建议补充来源说明</w:t>
      </w:r>
    </w:p>
    <w:p w14:paraId="34CB9C73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作者在 Switch 4 中使用了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Kd=1−0.05log⁡10(mn⋅10)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K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d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=1−0.05log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10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m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⋅10)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。我在第二轮审稿中曾要求澄清其来源。作者在 v2.8 中尚未明确标注该公式是来自 FKM 原文档还是作者自己的工程近似。</w:t>
      </w:r>
    </w:p>
    <w:p w14:paraId="07395A54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：在 FKM 条目下添加一个脚注或括号说明，例如：</w:t>
      </w:r>
    </w:p>
    <w:p w14:paraId="10BB879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"(This form for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Kd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K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d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is a simplified engineering approximation for gear bending; the FKM guideline provides a more general lookup-table procedure.)"</w:t>
      </w:r>
    </w:p>
    <w:p w14:paraId="1B5C417F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或</w:t>
      </w:r>
    </w:p>
    <w:p w14:paraId="59094A9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"(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Kd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K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d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is approximated here for the specific gear geometry; FKM 7th ed. Annex A provides the full size-factor procedure.)"</w:t>
      </w:r>
    </w:p>
    <w:p w14:paraId="5C6469DF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即使作者确认该公式来自 FKM 某个特定章节，也应给出该章节号。</w:t>
      </w:r>
    </w:p>
    <w:p w14:paraId="6B40D5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0AD202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7. 参考文献 [9] 的格式不一致</w:t>
      </w:r>
    </w:p>
    <w:p w14:paraId="0CB34843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[9] Wang J.J. et al.——这是中文期刊论文。作者已在括号中标注 "(in Chinese)"，这是恰当的。但建议同时补充 DOI（如果该期刊有英文摘要）。</w:t>
      </w:r>
    </w:p>
    <w:p w14:paraId="169AEAD0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当前：</w:t>
      </w:r>
    </w:p>
    <w:p w14:paraId="62B35F2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"J. Mech. Strength 45(2): 474-480, 2023. doi:10.16579/j.issn.1001.9669.2023.02.030"</w:t>
      </w:r>
    </w:p>
    <w:p w14:paraId="462EA282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该 DOI 似乎是有效的。✅</w:t>
      </w:r>
    </w:p>
    <w:p w14:paraId="759EC6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31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D6AE4E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8. 图 1 的标题可以更精确</w:t>
      </w:r>
    </w:p>
    <w:p w14:paraId="0E7655BE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当前图 1 标题为：</w:t>
      </w:r>
    </w:p>
    <w:p w14:paraId="72FA816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"Fatigue life distribution by standard."</w:t>
      </w:r>
    </w:p>
    <w:p w14:paraId="7B31F4D6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建议修改为：</w:t>
      </w:r>
    </w:p>
    <w:p w14:paraId="3F149C4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"Fatigue life distribution by size-and-surface standard. Left: violin plots with box overlay of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log⁡10(Nf)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log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  <w:shd w:val="clear" w:fill="FFFFFF"/>
        </w:rPr>
        <w:t>10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N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shd w:val="clear" w:fill="FFFFFF"/>
        </w:rPr>
        <w:t>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for each standard. Right: count of finite-life vs. run-out predictions."</w:t>
      </w:r>
    </w:p>
    <w:p w14:paraId="6BB69B0E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这能帮助读者更快地理解图的全部信息。</w:t>
      </w:r>
    </w:p>
    <w:p w14:paraId="07AF147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09AAAD"/>
    <w:multiLevelType w:val="multilevel"/>
    <w:tmpl w:val="8909AAA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2DF0B12"/>
    <w:multiLevelType w:val="multilevel"/>
    <w:tmpl w:val="92DF0B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4DE1491"/>
    <w:multiLevelType w:val="multilevel"/>
    <w:tmpl w:val="A4DE14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3CAA5E8"/>
    <w:multiLevelType w:val="multilevel"/>
    <w:tmpl w:val="B3CAA5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C5521063"/>
    <w:multiLevelType w:val="multilevel"/>
    <w:tmpl w:val="C552106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F3DC40EB"/>
    <w:multiLevelType w:val="multilevel"/>
    <w:tmpl w:val="F3DC40E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F7275615"/>
    <w:multiLevelType w:val="multilevel"/>
    <w:tmpl w:val="F727561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0122E9F0"/>
    <w:multiLevelType w:val="multilevel"/>
    <w:tmpl w:val="0122E9F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01718104"/>
    <w:multiLevelType w:val="multilevel"/>
    <w:tmpl w:val="017181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0CD981CF"/>
    <w:multiLevelType w:val="multilevel"/>
    <w:tmpl w:val="0CD981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172AA419"/>
    <w:multiLevelType w:val="multilevel"/>
    <w:tmpl w:val="172AA4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195247CB"/>
    <w:multiLevelType w:val="multilevel"/>
    <w:tmpl w:val="195247C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256565BC"/>
    <w:multiLevelType w:val="multilevel"/>
    <w:tmpl w:val="256565B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3E5D98AB"/>
    <w:multiLevelType w:val="multilevel"/>
    <w:tmpl w:val="3E5D98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3EBD8787"/>
    <w:multiLevelType w:val="multilevel"/>
    <w:tmpl w:val="3EBD878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5066CDE0"/>
    <w:multiLevelType w:val="multilevel"/>
    <w:tmpl w:val="5066CDE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6A2B619E"/>
    <w:multiLevelType w:val="multilevel"/>
    <w:tmpl w:val="6A2B619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7D6F3206"/>
    <w:multiLevelType w:val="multilevel"/>
    <w:tmpl w:val="7D6F320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2"/>
  </w:num>
  <w:num w:numId="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</w:num>
  <w:num w:numId="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17"/>
  </w:num>
  <w:num w:numId="11">
    <w:abstractNumId w:val="10"/>
  </w:num>
  <w:num w:numId="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15"/>
  </w:num>
  <w:num w:numId="16">
    <w:abstractNumId w:val="9"/>
  </w:num>
  <w:num w:numId="17">
    <w:abstractNumId w:val="4"/>
  </w:num>
  <w:num w:numId="18">
    <w:abstractNumId w:val="16"/>
  </w:num>
  <w:num w:numId="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5"/>
  </w:num>
  <w:num w:numId="22">
    <w:abstractNumId w:val="2"/>
  </w:num>
  <w:num w:numId="23">
    <w:abstractNumId w:val="14"/>
  </w:num>
  <w:num w:numId="24">
    <w:abstractNumId w:val="0"/>
  </w:num>
  <w:num w:numId="25">
    <w:abstractNumId w:val="13"/>
  </w:num>
  <w:num w:numId="26">
    <w:abstractNumId w:val="11"/>
  </w:num>
  <w:num w:numId="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506752"/>
    <w:rsid w:val="07657101"/>
    <w:rsid w:val="0D0A5F71"/>
    <w:rsid w:val="195156A1"/>
    <w:rsid w:val="30506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5062</Words>
  <Characters>7080</Characters>
  <Lines>0</Lines>
  <Paragraphs>0</Paragraphs>
  <TotalTime>35</TotalTime>
  <ScaleCrop>false</ScaleCrop>
  <LinksUpToDate>false</LinksUpToDate>
  <CharactersWithSpaces>7632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2026-07-23T14:39:00Z</dcterms:created>
  <dc:creator>陈智磊</dc:creator>
  <cp:lastModifiedBy>陈智磊</cp:lastModifiedBy>
  <dcterms:modified xsi:type="dcterms:W3CDTF">2026-07-23T15:17:34Z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5B1AED714C17416C9302727B28AF5634_11</vt:lpwstr>
  </property>
  <property fmtid="{D5CDD505-2E9C-101B-9397-08002B2CF9AE}" pid="4" name="KSOTemplateDocerSaveRecord">
    <vt:lpwstr>eyJoZGlkIjoiM2QxMzQ1NmNiYWQ2ZWEyN2EzYjg0OTM4M2FmNjM4MDEiLCJ1c2VySWQiOiIxNzQ0NDIwODU5In0=</vt:lpwstr>
  </property>
</Properties>
</file>