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76D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二、论文内部核心</w:t>
      </w:r>
      <w:r>
        <w:rPr>
          <w:rStyle w:val="6"/>
          <w:b/>
          <w:color w:val="000000"/>
          <w:sz w:val="24"/>
          <w:szCs w:val="24"/>
          <w:bdr w:val="none" w:color="auto" w:sz="0" w:space="0"/>
        </w:rPr>
        <w:t>自相矛盾、前后不一致</w:t>
      </w:r>
      <w:r>
        <w:rPr>
          <w:color w:val="000000"/>
          <w:sz w:val="24"/>
          <w:szCs w:val="24"/>
          <w:bdr w:val="none" w:color="auto" w:sz="0" w:space="0"/>
        </w:rPr>
        <w:t>（JMST 重点质疑点）</w:t>
      </w:r>
    </w:p>
    <w:p w14:paraId="4921C5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标准对比基线设定的双重标准矛盾（最严重逻辑冲突）</w:t>
      </w:r>
    </w:p>
    <w:p w14:paraId="1C1C6B8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前文 2.3 节：为统一基线，</w:t>
      </w:r>
      <w:r>
        <w:rPr>
          <w:rStyle w:val="6"/>
          <w:color w:val="000000"/>
          <w:sz w:val="24"/>
          <w:szCs w:val="24"/>
          <w:bdr w:val="none" w:color="auto" w:sz="0" w:space="0"/>
        </w:rPr>
        <w:t>强制三套标准全部采用 ISO 齿根应力集中系数\(Y_{Sa}=1.55\)</w:t>
      </w:r>
      <w:r>
        <w:rPr>
          <w:color w:val="000000"/>
          <w:sz w:val="24"/>
          <w:szCs w:val="24"/>
          <w:bdr w:val="none" w:color="auto" w:sz="0" w:space="0"/>
        </w:rPr>
        <w:t>，人为屏蔽 AGMA 原生几何系数J、FKM 原生疲劳缺口因子\(K_f\)；作者承认该处理让 35.3%“尺寸 - 表面标准方差占比” 仅为</w:t>
      </w:r>
      <w:r>
        <w:rPr>
          <w:rStyle w:val="6"/>
          <w:color w:val="000000"/>
          <w:sz w:val="24"/>
          <w:szCs w:val="24"/>
          <w:bdr w:val="none" w:color="auto" w:sz="0" w:space="0"/>
        </w:rPr>
        <w:t>下限值</w:t>
      </w:r>
      <w:r>
        <w:rPr>
          <w:color w:val="000000"/>
          <w:sz w:val="24"/>
          <w:szCs w:val="24"/>
          <w:bdr w:val="none" w:color="auto" w:sz="0" w:space="0"/>
        </w:rPr>
        <w:t>，完整原生流程的标准分歧会更大。</w:t>
      </w:r>
    </w:p>
    <w:p w14:paraId="1A78382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后文 4.8 节却直接给出跨标准寿命换算公式： \(N_{f,\, AGMA}\approx N_{f, ISO}× 10^{-(0.50+0.002\, R_{z})}, N_{f,\, FKM}\approx N_{f,ISO}× 10^{-(1.70+0.004\, R_{z})}\) </w:t>
      </w:r>
      <w:r>
        <w:rPr>
          <w:rStyle w:val="6"/>
          <w:color w:val="000000"/>
          <w:sz w:val="24"/>
          <w:szCs w:val="24"/>
          <w:bdr w:val="none" w:color="auto" w:sz="0" w:space="0"/>
        </w:rPr>
        <w:t>矛盾点</w:t>
      </w:r>
      <w:r>
        <w:rPr>
          <w:color w:val="000000"/>
          <w:sz w:val="24"/>
          <w:szCs w:val="24"/>
          <w:bdr w:val="none" w:color="auto" w:sz="0" w:space="0"/>
        </w:rPr>
        <w:t>：该换算系数仅适用于 “统一\(Y_{Sa}\)人为改造后的非原生标准流程”，但正文、结论均未反复高亮该前提，极易误导读者将其当作通用跨标准修正公式；文中同时存在两套叙事： 1）严谨叙事：35.3% 是下限、公式仅适配本文单一齿轮； 2）模糊叙事：直接给出可直接套用的工程修正式，弱化基线改造带来的适用边界，形成前后口径冲突。</w:t>
      </w:r>
    </w:p>
    <w:p w14:paraId="3E2056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S-N 曲线方差占比正负值的解释冲突</w:t>
      </w:r>
    </w:p>
    <w:p w14:paraId="47CC32D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表 2 中 S-N 曲线源方差占比为</w:t>
      </w:r>
      <w:r>
        <w:rPr>
          <w:rStyle w:val="6"/>
          <w:color w:val="000000"/>
          <w:sz w:val="24"/>
          <w:szCs w:val="24"/>
          <w:bdr w:val="none" w:color="auto" w:sz="0" w:space="0"/>
        </w:rPr>
        <w:t>-0.7%</w:t>
      </w:r>
      <w:r>
        <w:rPr>
          <w:color w:val="000000"/>
          <w:sz w:val="24"/>
          <w:szCs w:val="24"/>
          <w:bdr w:val="none" w:color="auto" w:sz="0" w:space="0"/>
        </w:rPr>
        <w:t>，作者解释为两套 Waterloo S-N 曲线在\(10^6\)循环疲劳强度接近，抵消了 Basquin 参数差异；</w:t>
      </w:r>
    </w:p>
    <w:p w14:paraId="029A467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但 3.8 节对比传统 Sobol/ANOVA（丢弃 92 组越界 run-out 数据）时，S-N 曲线方差飙升至 29.0%，作者归因于 “删失数据丢失低粗糙度、高寿命组合”；</w:t>
      </w:r>
    </w:p>
    <w:p w14:paraId="3612556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内在矛盾</w:t>
      </w:r>
      <w:r>
        <w:rPr>
          <w:color w:val="000000"/>
          <w:sz w:val="24"/>
          <w:szCs w:val="24"/>
          <w:bdr w:val="none" w:color="auto" w:sz="0" w:space="0"/>
        </w:rPr>
        <w:t>：全文未统一解释 “方差贡献为负数” 的统计学物理意义 —— 常规方差分解指标取值≥0，负数本身是 AFT 删失似然模型在高度截尾数据集下的数值伪影，但正文时而将 - 0.7% 解读为 “S-N 曲线几乎无影响”，时而回避负数的统计缺陷，两套解读无法自洽。</w:t>
      </w:r>
    </w:p>
    <w:p w14:paraId="7B3312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平均应力修正影响的双重结论冲突</w:t>
      </w:r>
    </w:p>
    <w:p w14:paraId="268DFF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1）700 N・m 工况（近疲劳极限）：平均应力修正贡献 39.1%，作者提出</w:t>
      </w: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R=0 脉动弯曲下平均应力效应不可忽略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，颠覆行业传统认知； 2）同时明确限定：该高占比仅来自\(\sigma_m/\sigma_{uts}≈0.39\)高应力比、</w:t>
      </w: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无表层残余压应力的调质 42CrMo4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；渗碳齿轮残余压应力会大幅压低该占比；</w:t>
      </w:r>
    </w:p>
    <w:p w14:paraId="392D69E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冲突点</w:t>
      </w:r>
      <w:r>
        <w:rPr>
          <w:color w:val="000000"/>
          <w:sz w:val="24"/>
          <w:szCs w:val="24"/>
          <w:bdr w:val="none" w:color="auto" w:sz="0" w:space="0"/>
        </w:rPr>
        <w:t>：讨论 4.1、4.9 风险分级部分未做区分，直接用 39.1% 占比推导通用设计管控方案，混淆 “调质无残余应力齿轮特殊工况” 与工业主流渗碳齿轮场景，同一参数给出两种泛化程度完全相反的结论。</w:t>
      </w:r>
    </w:p>
    <w:p w14:paraId="49AA00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载荷幅值（扭矩）依赖结论的信息断层矛盾</w:t>
      </w:r>
    </w:p>
    <w:p w14:paraId="783DF40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3.5 节：500 N・m 全部 144 组均为 run-out（全截尾，无法分解方差）；600 N・m 仅 10 组有限寿命，AFT 分解结果不稳定、出现 NaN / 负方差；仅 700 N・m 可获得可靠方差占比；</w:t>
      </w:r>
    </w:p>
    <w:p w14:paraId="37DCB38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但 4.6 标准化建议、4.10 工程设计案例</w:t>
      </w:r>
      <w:r>
        <w:rPr>
          <w:rStyle w:val="6"/>
          <w:color w:val="000000"/>
          <w:sz w:val="24"/>
          <w:szCs w:val="24"/>
          <w:bdr w:val="none" w:color="auto" w:sz="0" w:space="0"/>
        </w:rPr>
        <w:t>完全基于 700 N・m 单一点结果</w:t>
      </w:r>
      <w:r>
        <w:rPr>
          <w:color w:val="000000"/>
          <w:sz w:val="24"/>
          <w:szCs w:val="24"/>
          <w:bdr w:val="none" w:color="auto" w:sz="0" w:space="0"/>
        </w:rPr>
        <w:t>，未对中低扭矩工业主流工况给出配套管控逻辑；前文明确指出 “因子权重随扭矩剧烈变化”，后文设计指南却无视该关键前提，前后研究边界割裂。</w:t>
      </w:r>
    </w:p>
    <w:p w14:paraId="470414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 累积损伤法则影响的适用范围表述矛盾</w:t>
      </w:r>
    </w:p>
    <w:p w14:paraId="1769D62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恒定振幅载荷下 Miner / 修正 Miner 方差仅 0.3%，作者反复强调</w:t>
      </w:r>
      <w:r>
        <w:rPr>
          <w:rStyle w:val="6"/>
          <w:color w:val="000000"/>
          <w:sz w:val="24"/>
          <w:szCs w:val="24"/>
          <w:bdr w:val="none" w:color="auto" w:sz="0" w:space="0"/>
        </w:rPr>
        <w:t>不可外推至变幅载荷</w:t>
      </w:r>
      <w:r>
        <w:rPr>
          <w:color w:val="000000"/>
          <w:sz w:val="24"/>
          <w:szCs w:val="24"/>
          <w:bdr w:val="none" w:color="auto" w:sz="0" w:space="0"/>
        </w:rPr>
        <w:t>；</w:t>
      </w:r>
    </w:p>
    <w:p w14:paraId="4BF071D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但引言、结论中多次笼统表述 “损伤规则不确定性可忽略”，省略 “仅恒幅加载” 核心限定，在无变幅仿真支撑的前提下弱化该因子潜在影响，表述尺度前后不一致。</w:t>
      </w:r>
    </w:p>
    <w:p w14:paraId="38B4BB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三、物理 / 工程常识层面的</w:t>
      </w:r>
      <w:r>
        <w:rPr>
          <w:rStyle w:val="6"/>
          <w:b/>
          <w:color w:val="000000"/>
          <w:sz w:val="24"/>
          <w:szCs w:val="24"/>
          <w:bdr w:val="none" w:color="auto" w:sz="0" w:space="0"/>
        </w:rPr>
        <w:t>不一致、不合理假设</w:t>
      </w:r>
      <w:r>
        <w:rPr>
          <w:color w:val="000000"/>
          <w:sz w:val="24"/>
          <w:szCs w:val="24"/>
          <w:bdr w:val="none" w:color="auto" w:sz="0" w:space="0"/>
        </w:rPr>
        <w:t>（JMST 材料疲劳审稿重点扣分点）</w:t>
      </w:r>
    </w:p>
    <w:p w14:paraId="181663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完全忽略残余应力、加工硬化的强制理想化假设，与 42CrMo4 齿轮工程实际严重脱节</w:t>
      </w:r>
    </w:p>
    <w:p w14:paraId="0BA498F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全文统一假设</w:t>
      </w:r>
      <w:r>
        <w:rPr>
          <w:rStyle w:val="6"/>
          <w:color w:val="000000"/>
          <w:sz w:val="24"/>
          <w:szCs w:val="24"/>
          <w:bdr w:val="none" w:color="auto" w:sz="0" w:space="0"/>
        </w:rPr>
        <w:t>无任何残余应力</w:t>
      </w:r>
      <w:r>
        <w:rPr>
          <w:color w:val="000000"/>
          <w:sz w:val="24"/>
          <w:szCs w:val="24"/>
          <w:bdr w:val="none" w:color="auto" w:sz="0" w:space="0"/>
        </w:rPr>
        <w:t>，但调质 42CrMo4 机加工、锻造齿轮天然存在表层残余应力，锻造\(R_z=50\ \mu m\)试样残余拉应力会放大平均应力效应，磨削\(R_z=4\ \mu m\)存在压应力；</w:t>
      </w:r>
    </w:p>
    <w:p w14:paraId="49E89AD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作者仅在局限性章节一笔带过该假设，但全文方差分解、风险分级、工程建议均未量化残余应力带来的偏差幅度，模型边界与真实齿轮材料服役状态不一致。</w:t>
      </w:r>
    </w:p>
    <w:p w14:paraId="03679D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表面粗糙度上限处理的标准规则混用缺陷</w:t>
      </w:r>
    </w:p>
    <w:p w14:paraId="1B2C96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ISO 6336 明确粗糙度公式仅验证至\(R_z=40\ \mu m\)，超过后系数强制封顶；但本文直接采用\(R_z=50\ \mu m\)锻造工况，仅在 4.11 局限性中补充验证 “去掉封顶仅改变交互项 0.1 pp”； 工程层面：外推标准适用区间本身属于模型近似，却将外推结果作为核心数据（ISO-FKM 寿命差 2.0 dex），标准条文约束与数值实验设计存在客观不一致。</w:t>
      </w:r>
    </w:p>
    <w:p w14:paraId="073BF7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单一材料、单一齿轮几何过度泛化结论</w:t>
      </w:r>
    </w:p>
    <w:p w14:paraId="2757F3B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研究对象唯一：\(m_n=3\ \text{mm}, z_1=20\)调质 42CrMo4 直齿轮，仅 700 N・m 单扭矩；</w:t>
      </w:r>
    </w:p>
    <w:p w14:paraId="3C8F311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但摘要、结论、4.6 标准化建议多处使用通用化表述：“齿轮疲劳寿命预测的不确定性来源排序”，未持续强调 “仅针对本算例，不具备普适性”； JMST 材料类论文严格区分 “算例特定规律” 和 “通用材料疲劳规律”，该泛化表述属于典型论证边界不一致。</w:t>
      </w:r>
    </w:p>
    <w:p w14:paraId="20F11C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应力集中统一替换带来的标准原生逻辑破坏</w:t>
      </w:r>
    </w:p>
    <w:p w14:paraId="578A38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AGMA、FKM 完整计算流程的尺寸 / 表面因子是和各自原生缺口系数\(J/K_f\)耦合设计，本文强行剥离、统一替换为 ISO\(Y_{Sa}\)，改变两套标准原本的应力计算闭环； 作者虽估算偏差仅 2~6 个百分点，但未建立完整原生三套标准对照仿真作为佐证，单一改造基线下的方差占比无法完全代表行业工程师真实计算分歧，数值模型与标准原生计算逻辑不一致。</w:t>
      </w:r>
    </w:p>
    <w:p w14:paraId="019E43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四、统计学方法缺陷：模型内在不自洽（JMST 可靠性 / 统计审稿质疑点）</w:t>
      </w:r>
    </w:p>
    <w:p w14:paraId="5EC217B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对数正态 AFT 模型与残差正态假设冲突</w:t>
      </w:r>
      <w:r>
        <w:rPr>
          <w:color w:val="000000"/>
          <w:sz w:val="24"/>
          <w:szCs w:val="24"/>
          <w:bdr w:val="none" w:color="auto" w:sz="0" w:space="0"/>
        </w:rPr>
        <w:t xml:space="preserve"> 2.7.1 节残差偏度 - 0.44，Shapiro–Wilk 检验\(p=0.0016\)，明确拒绝残差正态假设；作者仅说明 “似然比分解对轻度非正态稳健”，未开展敏感性分析（如 Box-Cox 变换、Weibull-AFT 对照仅做简单 AIC 对比），在违背模型核心前提的前提下直接采信方差占比，统计模型假设与数据特征不一致。</w:t>
      </w:r>
    </w:p>
    <w:p w14:paraId="14ECA69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高度截尾数据（64% run-out）的指标可靠性边界模糊</w:t>
      </w:r>
      <w:r>
        <w:rPr>
          <w:color w:val="000000"/>
          <w:sz w:val="24"/>
          <w:szCs w:val="24"/>
          <w:bdr w:val="none" w:color="auto" w:sz="0" w:space="0"/>
        </w:rPr>
        <w:t xml:space="preserve"> 4.11 明确说明截尾 &gt; 60% 时 AFT 分解识别性下降，但 700 N・m 恰好 64% 截尾，全文未量化该截尾比例带来的方差占比置信区间偏移；仅依靠 2000 次 Bootstrap 窄置信区间佐证稳健性，忽略高截尾下似然函数本身的多解风险，统计结论可靠性论证不统一。</w:t>
      </w:r>
    </w:p>
    <w:p w14:paraId="0129942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交互项处理简化</w:t>
      </w:r>
      <w:r>
        <w:rPr>
          <w:color w:val="000000"/>
          <w:sz w:val="24"/>
          <w:szCs w:val="24"/>
          <w:bdr w:val="none" w:color="auto" w:sz="0" w:space="0"/>
        </w:rPr>
        <w:t xml:space="preserve"> 仅计算 “标准 × 粗糙度” 二阶交互，完全忽略平均应力 × 粗糙度、平均应力 × 标准等高阶交互项，直接将剩余方差全部归为主效应；在 5 因子全因子设计中人为截断交互项阶数，方差分解完整性存在内在缺失。</w:t>
      </w:r>
    </w:p>
    <w:p w14:paraId="6C64F2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五、创新与论证层面的隐性矛盾（对比领域已有文献）</w:t>
      </w:r>
    </w:p>
    <w:p w14:paraId="19A05D0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引言声称</w:t>
      </w:r>
      <w:r>
        <w:rPr>
          <w:rStyle w:val="6"/>
          <w:color w:val="000000"/>
          <w:sz w:val="24"/>
          <w:szCs w:val="24"/>
          <w:bdr w:val="none" w:color="auto" w:sz="0" w:space="0"/>
        </w:rPr>
        <w:t>首次</w:t>
      </w:r>
      <w:r>
        <w:rPr>
          <w:color w:val="000000"/>
          <w:sz w:val="24"/>
          <w:szCs w:val="24"/>
          <w:bdr w:val="none" w:color="auto" w:sz="0" w:space="0"/>
        </w:rPr>
        <w:t>采用全因子 AFT 删失似然分解量化齿轮疲劳方法诱导不确定性； 但 4.3 引用的 Bonaiti、Pagliari、Vietze 等文献已开展多标准对比、均值应力 / 粗糙度敏感性分析，本文仅为统计工具（AFT + 全因子）的组合创新，正文却弱化前人多维度敏感性工作，抬高自身创新性，文献对比叙事存在不一致。</w:t>
      </w:r>
    </w:p>
    <w:p w14:paraId="7DF7109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4.4 对比 Wang 42CrMo4 试验：方法诱导寿命散差 2~3 倍于材料本身散差； 但仅一组外部文献对照，无多材料、多几何验证，却得出 “方法选择不确定性超过材料固有离散性” 的宽泛结论，样本支撑力度与结论高度不匹配，论证强度前后失衡。</w:t>
      </w:r>
    </w:p>
    <w:p w14:paraId="12A55C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六、JMST 期刊视角审稿分级意见总结</w:t>
      </w:r>
    </w:p>
    <w:p w14:paraId="66BCCB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不构成拒稿硬伤（无学术造假 / 虚假数据）</w:t>
      </w:r>
    </w:p>
    <w:p w14:paraId="26CA68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无伪造、篡改试验数据，全部计算、公式、数据源可溯源，代码与数据集完整开放，不存在学术不端红线问题。</w:t>
      </w:r>
    </w:p>
    <w:p w14:paraId="488693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必须大修的核心矛盾与不一致点（缺一不可整改）</w:t>
      </w:r>
    </w:p>
    <w:p w14:paraId="247949E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统一\(Y_{Sa}\)基线带来的跨标准修正公式适用边界模糊，需在公式、图表、结论中</w:t>
      </w:r>
      <w:r>
        <w:rPr>
          <w:rStyle w:val="6"/>
          <w:color w:val="000000"/>
          <w:sz w:val="24"/>
          <w:szCs w:val="24"/>
          <w:bdr w:val="none" w:color="auto" w:sz="0" w:space="0"/>
        </w:rPr>
        <w:t>全程标注限定条件</w:t>
      </w:r>
      <w:r>
        <w:rPr>
          <w:color w:val="000000"/>
          <w:sz w:val="24"/>
          <w:szCs w:val="24"/>
          <w:bdr w:val="none" w:color="auto" w:sz="0" w:space="0"/>
        </w:rPr>
        <w:t>；</w:t>
      </w:r>
    </w:p>
    <w:p w14:paraId="01B44E2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统一弱化泛化表述，所有 “齿轮通用规律” 修正为 “本调质 42CrMo4 单齿轮 700 N・m 工况特有规律”；</w:t>
      </w:r>
    </w:p>
    <w:p w14:paraId="339032E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补充高截尾、非正态残差下 AFT 方差指标的统计敏感性验证，解释负方差贡献的数值伪影；</w:t>
      </w:r>
    </w:p>
    <w:p w14:paraId="5164606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区分 “无残余应力调质齿轮” 与工业渗碳齿轮，拆分两套场景下平均应力修正方差占比结论；</w:t>
      </w:r>
    </w:p>
    <w:p w14:paraId="31D1095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补充中低扭矩（500/600 N・m）定性不确定性分析，修正仅依靠 700 N・m 推导通用设计指南的逻辑断层；</w:t>
      </w:r>
    </w:p>
    <w:p w14:paraId="2645486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量化 ISO 粗糙度区间外推、统一\(Y_{Sa}\)改造带来的系统偏差，限制工程修正公式的使用场景；</w:t>
      </w:r>
    </w:p>
    <w:p w14:paraId="21224AA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完整讨论高阶交互项缺失对方差分解结果的影响，完善统计模型局限性论述。</w:t>
      </w:r>
    </w:p>
    <w:p w14:paraId="5931FC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小修优化点</w:t>
      </w:r>
    </w:p>
    <w:p w14:paraId="664D7F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统一全文术语限定表述，修正 “损伤规则可忽略” 等省略恒幅加载前提的模糊句子；补充 Weibull-AFT、不同\(R_z/R_a\)换算比例下的方差对比附表，提升结论稳健性论证。</w:t>
      </w:r>
    </w:p>
    <w:p w14:paraId="5CD82F9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706E66"/>
    <w:multiLevelType w:val="multilevel"/>
    <w:tmpl w:val="83706E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8F129A5"/>
    <w:multiLevelType w:val="multilevel"/>
    <w:tmpl w:val="98F129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FCBD51C"/>
    <w:multiLevelType w:val="multilevel"/>
    <w:tmpl w:val="9FCBD5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34FDB42"/>
    <w:multiLevelType w:val="multilevel"/>
    <w:tmpl w:val="B34FDB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C3EB154"/>
    <w:multiLevelType w:val="multilevel"/>
    <w:tmpl w:val="BC3EB1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7ACBDA5"/>
    <w:multiLevelType w:val="multilevel"/>
    <w:tmpl w:val="E7ACBD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0ADDFD9"/>
    <w:multiLevelType w:val="multilevel"/>
    <w:tmpl w:val="F0ADDF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CC345C5"/>
    <w:multiLevelType w:val="multilevel"/>
    <w:tmpl w:val="0CC345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362C0AA"/>
    <w:multiLevelType w:val="multilevel"/>
    <w:tmpl w:val="2362C0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3EE267D"/>
    <w:multiLevelType w:val="multilevel"/>
    <w:tmpl w:val="63EE26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6"/>
  </w:num>
  <w:num w:numId="5">
    <w:abstractNumId w:val="2"/>
  </w:num>
  <w:num w:numId="6">
    <w:abstractNumId w:val="7"/>
  </w:num>
  <w:num w:numId="7">
    <w:abstractNumId w:val="0"/>
  </w:num>
  <w:num w:numId="8">
    <w:abstractNumId w:val="3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EE4560"/>
    <w:rsid w:val="3AEE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2844</Words>
  <Characters>3488</Characters>
  <Lines>0</Lines>
  <Paragraphs>0</Paragraphs>
  <TotalTime>0</TotalTime>
  <ScaleCrop>false</ScaleCrop>
  <LinksUpToDate>false</LinksUpToDate>
  <CharactersWithSpaces>3741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2026-07-30T13:40:00Z</dcterms:created>
  <dc:creator>陈智磊</dc:creator>
  <cp:lastModifiedBy>陈智磊</cp:lastModifiedBy>
  <dcterms:modified xsi:type="dcterms:W3CDTF">2026-07-30T13:41:09Z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D43AD0C649D54B1C8E323494E95E8B04_11</vt:lpwstr>
  </property>
  <property fmtid="{D5CDD505-2E9C-101B-9397-08002B2CF9AE}" pid="4" name="KSOTemplateDocerSaveRecord">
    <vt:lpwstr>eyJoZGlkIjoiM2QxMzQ1NmNiYWQ2ZWEyN2EzYjg0OTM4M2FmNjM4MDEiLCJ1c2VySWQiOiIxNzQ0NDIwODU5In0=</vt:lpwstr>
  </property>
</Properties>
</file>