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9E1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二、当前仍存在【中等短板】（审稿人可提问，但不足以大修 / 拒稿，小幅文字补充即可）</w:t>
      </w:r>
    </w:p>
    <w:p w14:paraId="71B511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实验对标存在局限性</w:t>
      </w:r>
    </w:p>
    <w:p w14:paraId="3D6D3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文中对比 Wang 齿轮试验时，明确两套仿真应力区间不重叠，无法直接定量 “方法偏差＞材料离散”； 原文如实写明该限制，但回复信可以补充：多材质、多模数实体试验列为二期计划，当前仅定性佐证趋势。</w:t>
      </w:r>
    </w:p>
    <w:p w14:paraId="182CF7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材料维度变量偏少</w:t>
      </w:r>
    </w:p>
    <w:p w14:paraId="2531C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全因子设计仅两套同材质 S-N 曲线，材料维度自由度低，会一定程度放大方法类方差占比； 正文已主动点明该结构不对称缺陷，只需在结论展望加一句：后续增加多种钢材、多批次 S-N 曲线拓展设计。</w:t>
      </w:r>
    </w:p>
    <w:p w14:paraId="0EE658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变载荷仅定性提及，无算例</w:t>
      </w:r>
    </w:p>
    <w:p w14:paraId="70D6EE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全文只说明变载下损伤规则贡献会大幅上升，没有一组两级变载简易 AFT 算例； 补充方案：补充材料加一组变载仿真简短结果，或回复信写明 Phase2 会专门拓展变幅载荷谱。</w:t>
      </w:r>
    </w:p>
    <w:p w14:paraId="344919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部分图表、格式细节瑕疵</w:t>
      </w:r>
    </w:p>
    <w:p w14:paraId="146723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部分公式缺少编号；</w:t>
      </w:r>
    </w:p>
    <w:p w14:paraId="27FDC8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参考文献少量文献缺失 DOI；</w:t>
      </w:r>
    </w:p>
    <w:p w14:paraId="3C5672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Figure6 手写风格标注可替换印刷字体；</w:t>
      </w:r>
    </w:p>
    <w:p w14:paraId="558B0C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部分长段落讨论（Bonaiti/Vietze）篇幅偏长，可精简压缩无关细节；</w:t>
      </w:r>
    </w:p>
    <w:p w14:paraId="50D674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500N 工况负方差通俗解释偏少</w:t>
      </w:r>
    </w:p>
    <w:p w14:paraId="44FAE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虽有统计层面解释，但面向工业审稿人，可再加一句通俗说明：载荷过低绝大多数齿轮预测无限寿命，有效数据太少，统计模型无法精准拆分误差。</w:t>
      </w:r>
    </w:p>
    <w:p w14:paraId="45C14E27"/>
    <w:p w14:paraId="1DCC1561"/>
    <w:p w14:paraId="1D8CC4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eastAsia"/>
          <w:lang w:val="en-US" w:eastAsia="zh-CN"/>
        </w:rPr>
        <w:t>第三轮审稿：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color w:val="000000"/>
          <w:sz w:val="24"/>
          <w:szCs w:val="24"/>
          <w:bdr w:val="none" w:color="auto" w:sz="0" w:space="0"/>
        </w:rPr>
        <w:t>二、当前仅存【中等非致命短板】（审稿可提问，但无法构成大修 / 拒稿理由，小幅文字补充即可）</w:t>
      </w:r>
    </w:p>
    <w:p w14:paraId="1B3978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 试验对标仅定性，无定量一对一匹配</w:t>
      </w:r>
    </w:p>
    <w:p w14:paraId="3A391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文中仅定性对比 Wang 齿轮材料离散区间，但两套仿真应力区间不重叠，无法直接定量对比 “方法偏差＞材料离散”； 优化方案：回复信写明多模数、多材质实体试验纳入 Phase2，正文保留现有定性佐证即可。</w:t>
      </w:r>
    </w:p>
    <w:p w14:paraId="044C22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 试验设计材料维度单一（仅两套 42CrMo S-N 曲线）</w:t>
      </w:r>
    </w:p>
    <w:p w14:paraId="5ED1C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仅两组同材质疲劳曲线，会在一定程度压低材料离散贡献；正文已主动点明该设计不对称缺陷，展望多钢材拓展，无需重算。</w:t>
      </w:r>
    </w:p>
    <w:p w14:paraId="1A9057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 两级变载仅简易算例，无完整多阶载荷谱仿真</w:t>
      </w:r>
    </w:p>
    <w:p w14:paraId="2CB34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仅补充两段应力块简化算例，无随机变谱完整分解；可在回复信写明 Phase2 拓展随机载荷全因子仿真。</w:t>
      </w:r>
    </w:p>
    <w:p w14:paraId="16E059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 少量格式、图表、文字细节瑕疵</w:t>
      </w:r>
    </w:p>
    <w:p w14:paraId="1BBCA0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部分公式缺少独立编号；</w:t>
      </w:r>
    </w:p>
    <w:p w14:paraId="01BC6C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个别图表标注手写风格，可替换印刷标准化图例；</w:t>
      </w:r>
    </w:p>
    <w:p w14:paraId="579B36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部分参考文献缺失 DOI；</w:t>
      </w:r>
    </w:p>
    <w:p w14:paraId="086B78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Bonaiti/Vietze 相关评述段落偏长，可精简压缩无关细节；</w:t>
      </w:r>
    </w:p>
    <w:p w14:paraId="41A2AB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500N 低载荷负方差面向工业工程师的通俗解释偏少（现有仅统计层面说明）。</w:t>
      </w:r>
    </w:p>
    <w:p w14:paraId="38AFA33A">
      <w:pPr>
        <w:rPr>
          <w:rFonts w:hint="default" w:eastAsiaTheme="minorEastAsia"/>
          <w:lang w:val="en-US" w:eastAsia="zh-CN"/>
        </w:rPr>
      </w:pPr>
    </w:p>
    <w:p w14:paraId="0AA742A8">
      <w:pPr>
        <w:rPr>
          <w:rFonts w:hint="default" w:eastAsiaTheme="minorEastAsia"/>
          <w:lang w:val="en-US" w:eastAsia="zh-CN"/>
        </w:rPr>
      </w:pPr>
    </w:p>
    <w:p w14:paraId="558D09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v4.5 仍有大量分层提升空间，分 4 个梯度：【投刊前低成本立刻优化、返修可大幅加分中等补强、中长期拔高学术高度、跨赛道拓展系列成果】，全部贴合当前稿件现有框架，不用推翻现有 144 组仿真数据</w:t>
      </w:r>
    </w:p>
    <w:p w14:paraId="764EDD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一、零 / 低成本（文字、图表、段落微调，1 天内完成，投刊前必做，小幅拉高审稿印象分）</w:t>
      </w:r>
    </w:p>
    <w:p w14:paraId="7CDC9A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精简冗余讨论，强化主线对比</w:t>
      </w:r>
    </w:p>
    <w:p w14:paraId="67DF3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1）§4.3 文献综述里 Bonaiti、Vietze 两段压缩 40% 篇幅，只保留和「多方法同步方差分解」的核心差异，删掉对方论文内部无关试验细节，突出本文独有五维度全因子框架； 2）§4.12 约束清单过长，拆分排版，用分点 + 小标题，读者一眼能看懂每条简化假设对应的偏移上限，不用大段文字堆砌； 3）结论最后一句金句「A gear’s fatigue life is not a property of the gear. It is a property of the handbook the en gineer opens」调整至摘要末尾，开篇抓眼球，强化记忆点。</w:t>
      </w:r>
    </w:p>
    <w:p w14:paraId="6BE175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图表规范化统一，消除不专业观感</w:t>
      </w:r>
    </w:p>
    <w:p w14:paraId="7E6874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1）全部手写式图注、红绿色潦草阴影替换期刊标准印刷图例；统一全文字体、坐标轴字号、误差棒标注格式； 2）Figure7 粗糙度交互图新增量化差值标注（1.6 dex gap），不用靠文字翻正文； 3）Table4、Table5 增加一行总结备注，直观写出 AFT 相比 ANOVA 的核心缺陷，不用读者自行计算差值； 4）所有图表标题前置核心结论（符合 IJF 图表规范），例：原图「Variance decomposition」→改为「AFT vs ANOVA Variance Decomposition Shows ANOVA Severely Underestimates Standard/Roughness Contribution」。</w:t>
      </w:r>
    </w:p>
    <w:p w14:paraId="424DFC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术语、公式、参考文献标准化补全</w:t>
      </w:r>
    </w:p>
    <w:p w14:paraId="17333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1）所有力学、统计公式统一编号（Basquin、四类平均应力、似然分解式、换算公式全部分配 Eq 序号，正文引用更清晰）； 2）全文统一连字符：run-out、S–N（短破折号），消除书写不统一； 3）补齐 [4]-[8] 缺失 DOI，中文文献标点对齐期刊格式； 4）修正全文少量上标笔误（\(10^6\)避免写成 106）。</w:t>
      </w:r>
    </w:p>
    <w:p w14:paraId="451FE9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弱化一处容易被抓的表述歧义</w:t>
      </w:r>
    </w:p>
    <w:p w14:paraId="52126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原文「method-induced spread far exceeds material scatter」仅为定性推论，目前缺少同应力区间试验对标；修改为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“At this studied operating point, the variance from engineering methodological choices is substantially larger than material scatter observed in published single-standard gear tests”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，加上限定条件，彻底堵死审稿抬杠空间。</w:t>
      </w:r>
    </w:p>
    <w:p w14:paraId="0ED76C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二、中等工作量（补充少量仿真 / 图表，3–5 天，返修核心加分项，显著提升严谨度）</w:t>
      </w:r>
    </w:p>
    <w:p w14:paraId="1574F9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补充单图：\(Y_{Sa}\)敏感性变化曲线</w:t>
      </w:r>
    </w:p>
    <w:p w14:paraId="61C5DA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现有仅文字写偏移 ±12.3pp，在补充材料新增折线图：横轴\(Y_{Sa}=1.2\sim1.9\)，纵轴标准方差占比，直观展示波动区间，审稿人不用翻文字找数字，可视化证明基准偏差极小。</w:t>
      </w:r>
    </w:p>
    <w:p w14:paraId="5FCBA6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完善 500 N・m 工况通俗工程解释</w:t>
      </w:r>
    </w:p>
    <w:p w14:paraId="749D2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目前只从统计信息矩阵奇异角度说明，新增一段工程化通俗解读：</w:t>
      </w:r>
    </w:p>
    <w:p w14:paraId="04965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500 N・m 载荷下绝大多数组合预测无限寿命，不存在有效失效样本，统计模型无法区分各方法带来的寿命差异，因此无可靠方差分解结果；该载荷区间工程设计的核心管控手段仅能强制统一标准，粗糙度、平均应力选择几乎不影响是否失效。</w:t>
      </w:r>
    </w:p>
    <w:p w14:paraId="49328D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补充多 S-N 曲线敏感性小样例</w:t>
      </w:r>
    </w:p>
    <w:p w14:paraId="47113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现有仅 2 组同材质 S-N，易被质疑材料变量单一；不用重跑 144 组全因子，仅新增 3 组不同强度 42CrMo S-N 单点仿真，补充一段文字：若纳入高低强度热处理钢材，S-N 方差占比可由 2.5% 提升至 12% 以上，明确当前数值仅局限两套相近试验曲线，完善研究边界。</w:t>
      </w:r>
    </w:p>
    <w:p w14:paraId="33134B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细化变载算例图表</w:t>
      </w:r>
    </w:p>
    <w:p w14:paraId="0A82AD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现有两级变载仅一张简易柱状图，新增 CDF 对比放大子图，标注恒定 / 变载下寿命跨度差值（2.79 dex → 4.25 dex），直观体现损伤规则在变载场景影响力上升，强化恒幅结论不可外推的论据。</w:t>
      </w:r>
    </w:p>
    <w:p w14:paraId="11C183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补充「通用修正简化公式」适用边界提醒</w:t>
      </w:r>
    </w:p>
    <w:p w14:paraId="41389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文中给出 AGMA-FKM 跨标准对数偏移\(\Delta_{AGMA \to FKM}=1.63 \pm 0.31\) dex，新增一段明确：该拟合式仅适配\(m_n=3,z_1=20\)调质齿轮，模数 / 齿数更换后需重新拟合，避免工程师直接照搬产生误用。</w:t>
      </w:r>
    </w:p>
    <w:p w14:paraId="2A9D2D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三、高阶硬核提升（需要额外仿真 / 深度论证，大幅拔高学术增量，适合大修阶段补充）</w:t>
      </w:r>
    </w:p>
    <w:p w14:paraId="1C6982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新增多分布方差对比完整分析</w:t>
      </w:r>
    </w:p>
    <w:p w14:paraId="7F9B7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目前仅对比 Weibull、log-logistic，拓展 Gamma、Log-Normal、Exponential 四类 AIC、BIC、方差分解结果汇总表，系统论证对数正态适配齿轮寿命的底层原因，强化统计方法学贡献，不再只是简单套用 AFT。</w:t>
      </w:r>
    </w:p>
    <w:p w14:paraId="47B1F0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补充完整 Sobol 对比分层解读</w:t>
      </w:r>
    </w:p>
    <w:p w14:paraId="0DB54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现有仅展示 60 组有限寿命 Sobol 结果，新增分层测试：逐步增加 run-out 剔除数量（20/40/60 组失效样本），绘制方差占比变化曲线，直观证明截尾样本越多 ANOVA/Sobol 偏差越大，形成一套普适结论：齿轮疲劳 50%+ 截尾场景禁止使用传统灵敏度分析。</w:t>
      </w:r>
    </w:p>
    <w:p w14:paraId="23CB1B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增加「多模数轻量化敏感性」仿真</w:t>
      </w:r>
    </w:p>
    <w:p w14:paraId="67555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不用全因子，仅选取\(m_n=2/3/4\)三组齿轮，固定其余参数跑简化 5 方法组合，对比标准方差占比变化，证明\(Y_{Sa}\)基准偏移随模数改变幅度，弥补当前仅单齿轮几何的局限，拓宽研究普适性。</w:t>
      </w:r>
    </w:p>
    <w:p w14:paraId="6C0C2A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风险量化深化：给出误差补偿简易计算模板</w:t>
      </w:r>
    </w:p>
    <w:p w14:paraId="2418A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现有仅分级管控建议，新增一页可直接复用工程计算模板：给定选用标准、粗糙度、平均应力模型，快速估算寿命预测上下限（基于 bootstrap 置信区间），真正做到落地设计工具，不止定性建议。</w:t>
      </w:r>
    </w:p>
    <w:p w14:paraId="76B392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四、长期拔高：拓展研究体系，大幅提升个人学术影响力（系列论文规划）</w:t>
      </w:r>
    </w:p>
    <w:p w14:paraId="141736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Phase2 完整方案落地，可作为本文强力展望扩充</w:t>
      </w:r>
    </w:p>
    <w:p w14:paraId="62D5B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正文 §4.12 现有路线可以细化、具象化，写完整研究蓝图，拉高论文格局： 1）耦合 FEA 提取齿根应力梯度，完全移除统一\(Y_{Sa}\)，实现三套标准原生完整计算，完成方案 A/B 对照； 2）拓展渗碳齿轮，引入表层残余应力变量，量化残余应力对冲平均应力不确定性； 3）多阶随机载荷谱全因子分解，定量刻画 Miner / 非线性损伤规则真实贡献； 4）多钢材（16MnCr5、4140 调质 / 渗碳）、多模数参数库，建立通用跨标准修正拟合方程组。</w:t>
      </w:r>
    </w:p>
    <w:p w14:paraId="107A5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方法论横向迁移，凸显框架通用性</w:t>
      </w:r>
    </w:p>
    <w:p w14:paraId="0376A9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在结论末尾新增一小段：本全因子 AFT 方差分解流水线可直接复用至轴承、曲轴、焊接接头，给出简单适配修改路径，证明不是单一齿轮专用工具，拓宽方法学价值。</w:t>
      </w:r>
    </w:p>
    <w:p w14:paraId="00EA00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开源工具工程化升级说明</w:t>
      </w:r>
    </w:p>
    <w:p w14:paraId="7DD04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Data and Availability 补充：代码内置 GUI 简易调用脚本，非编程工程师无需修改底层模型，输入齿轮参数即可输出不确定性预算，强化工业传播价值。</w:t>
      </w:r>
    </w:p>
    <w:p w14:paraId="5F33FE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五、优先级落地清单（按投入产出比排序）</w:t>
      </w:r>
    </w:p>
    <w:p w14:paraId="04A475A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立刻做（当天完工）：图表标准化、精简冗余讨论、统一公式编号、修正歧义表述；</w:t>
      </w:r>
    </w:p>
    <w:p w14:paraId="2D0C34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投刊前补充（3 天）：\(Y_{Sa}\)敏感性折线图、500N 工程通俗解读、变载图细化；</w:t>
      </w:r>
    </w:p>
    <w:p w14:paraId="227BD0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大修加分项（5 天仿真工作量）：多分布 AFT 对比、梯度剔除 Sobol 偏差曲线、多模数小样例；</w:t>
      </w:r>
    </w:p>
    <w:p w14:paraId="61D04E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长期格局拔高（论文录用后 / 续篇）：Phase2 完整 FEA 原生标准仿真、多材质数据库、GUI 开源工具开发。</w:t>
      </w:r>
    </w:p>
    <w:p w14:paraId="5583F8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六补充：不存在 “完美无缺稿件” 的核心逻辑</w:t>
      </w:r>
    </w:p>
    <w:p w14:paraId="3BCA8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哪怕 v4.5 已经闭环所有致命拒稿漏洞，依然存在天然边界短板：单一齿轮几何、无自研实体试验、恒幅为主、材料 S-N 样本少。上面所有提升方向，都是针对性弥补短板、放大创新增量，能显著拉高期刊审稿评价，从 “刚好达标小修稿” 提升至 “高价值优质稿件”，更容易获得编辑青睐、缩短录用周期、提高引用潜力。</w:t>
      </w:r>
    </w:p>
    <w:p w14:paraId="0066A04A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2EC41"/>
    <w:multiLevelType w:val="multilevel"/>
    <w:tmpl w:val="D7C2EC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75074EF"/>
    <w:multiLevelType w:val="multilevel"/>
    <w:tmpl w:val="475074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AF8F627"/>
    <w:multiLevelType w:val="multilevel"/>
    <w:tmpl w:val="5AF8F6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9310AB"/>
    <w:rsid w:val="0F503C2D"/>
    <w:rsid w:val="22CD5DE4"/>
    <w:rsid w:val="290A7705"/>
    <w:rsid w:val="409310AB"/>
    <w:rsid w:val="5DDB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880</Words>
  <Characters>957</Characters>
  <Lines>0</Lines>
  <Paragraphs>0</Paragraphs>
  <TotalTime>60</TotalTime>
  <ScaleCrop>false</ScaleCrop>
  <LinksUpToDate>false</LinksUpToDate>
  <CharactersWithSpaces>1008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2026-08-05T04:49:00Z</dcterms:created>
  <dc:creator>37639</dc:creator>
  <cp:lastModifiedBy>陈智磊</cp:lastModifiedBy>
  <dcterms:modified xsi:type="dcterms:W3CDTF">2026-08-05T12:14:25Z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C3638DBD5BC0436297E01F19ADDDFBE2_13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