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1D1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三、修订版依然存在的可大修短板（不属于 “虚假 / 矛盾 / 数据不自洽” 硬伤，仅研究局限，一区常规修改点）</w:t>
      </w:r>
    </w:p>
    <w:p w14:paraId="22F2E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核心数据仍以仿真为主，实物电池试验缺失</w:t>
      </w:r>
    </w:p>
    <w:p w14:paraId="6D293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仅用 NASA 公开阻抗 / 容量数据做间接佐证，无作者自主完成的多批次电池测试；审稿人会要求补充多温度、动态工况实物实验，进一步提升结论可靠性，但不属于数据矛盾。</w:t>
      </w:r>
    </w:p>
    <w:p w14:paraId="5D2A7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ANOVA 仅纳入一阶主效应 + 单交互项（Indicator×Cell）</w:t>
      </w:r>
    </w:p>
    <w:p w14:paraId="2D58E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未拟合其余二阶交互（如拟合模型 × 指标、粗糙度 × 基线等）；论文说明其余交互方差 &lt; 0.1%、不改变因子排序，逻辑自洽，但审稿人可能要求补充全交互敏感性校验。</w:t>
      </w:r>
    </w:p>
    <w:p w14:paraId="1FB758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未量化温度扰动对指标方差的影响</w:t>
      </w:r>
    </w:p>
    <w:p w14:paraId="626EB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局限第四条明确无温度变量，但全文未补充多温度仿真敏感性分析，仅文字说明温度是干扰项，缺少定量方差占比测算。</w:t>
      </w:r>
    </w:p>
    <w:p w14:paraId="145E1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市场数据参考文献更新但仍单一</w:t>
      </w:r>
    </w:p>
    <w:p w14:paraId="4C756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初版引用单一 CES 报告，修订版更换 MarketsandMarkets，但仍仅一份行业报告，可补充 2–3 份梯次储能行业文献交叉支撑市场规模论述。</w:t>
      </w:r>
    </w:p>
    <w:p w14:paraId="71B6A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四、和前文齿轮论文对比：两者整改质量区分</w:t>
      </w:r>
    </w:p>
    <w:p w14:paraId="01FE91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齿轮论文</w:t>
      </w:r>
      <w:r>
        <w:rPr>
          <w:color w:val="000000"/>
          <w:sz w:val="24"/>
          <w:szCs w:val="24"/>
          <w:bdr w:val="none" w:color="auto" w:sz="0" w:space="0"/>
        </w:rPr>
        <w:t>：从根源完善统计框架（AFT 替代 ANOVA）、完整量化所有模型简化偏差、分阶段披露研究路线；属于</w:t>
      </w:r>
      <w:r>
        <w:rPr>
          <w:rStyle w:val="7"/>
          <w:color w:val="000000"/>
          <w:sz w:val="24"/>
          <w:szCs w:val="24"/>
          <w:bdr w:val="none" w:color="auto" w:sz="0" w:space="0"/>
        </w:rPr>
        <w:t>方法学完整创新 + 全维度敏感性校验</w:t>
      </w:r>
      <w:r>
        <w:rPr>
          <w:color w:val="000000"/>
          <w:sz w:val="24"/>
          <w:szCs w:val="24"/>
          <w:bdr w:val="none" w:color="auto" w:sz="0" w:space="0"/>
        </w:rPr>
        <w:t>，整改深度更高；</w:t>
      </w:r>
    </w:p>
    <w:p w14:paraId="0E42DB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本次电池修订稿</w:t>
      </w:r>
      <w:r>
        <w:rPr>
          <w:color w:val="000000"/>
          <w:sz w:val="24"/>
          <w:szCs w:val="24"/>
          <w:bdr w:val="none" w:color="auto" w:sz="0" w:space="0"/>
        </w:rPr>
        <w:t>：仅在原有 ANOVA 仿真框架内修正全部事实 / 逻辑矛盾，补充实测交叉验证，但未更换统计工具、未做多工况拓展；属于</w:t>
      </w:r>
      <w:r>
        <w:rPr>
          <w:rStyle w:val="7"/>
          <w:color w:val="000000"/>
          <w:sz w:val="24"/>
          <w:szCs w:val="24"/>
          <w:bdr w:val="none" w:color="auto" w:sz="0" w:space="0"/>
        </w:rPr>
        <w:t>修复全部拒稿级硬伤，达到一区大修合格标准</w:t>
      </w:r>
      <w:r>
        <w:rPr>
          <w:color w:val="000000"/>
          <w:sz w:val="24"/>
          <w:szCs w:val="24"/>
          <w:bdr w:val="none" w:color="auto" w:sz="0" w:space="0"/>
        </w:rPr>
        <w:t>，但未升级方法论层级。</w:t>
      </w:r>
    </w:p>
    <w:p w14:paraId="3614C3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五、一区审稿人综合判定总结</w:t>
      </w:r>
    </w:p>
    <w:p w14:paraId="202DB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所有初版 “虚假、数值矛盾、物理逻辑不自洽、图表文字冲突、统计模型错误” 致命硬伤</w:t>
      </w:r>
      <w:r>
        <w:rPr>
          <w:rStyle w:val="7"/>
          <w:b/>
          <w:color w:val="000000"/>
          <w:sz w:val="24"/>
          <w:szCs w:val="24"/>
          <w:bdr w:val="none" w:color="auto" w:sz="0" w:space="0"/>
        </w:rPr>
        <w:t>已 100% 全部修复</w:t>
      </w:r>
      <w:r>
        <w:rPr>
          <w:color w:val="000000"/>
          <w:sz w:val="24"/>
          <w:szCs w:val="24"/>
          <w:bdr w:val="none" w:color="auto" w:sz="0" w:space="0"/>
        </w:rPr>
        <w:t>，不存在足以直接拒稿的事实性错误；</w:t>
      </w:r>
    </w:p>
    <w:p w14:paraId="52B6B7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现存问题仅为研究范围局限（纯仿真、缺多温度实物测试、交互项简化），均属于标准大修修改条目，无学术不端、数据操纵嫌疑；</w:t>
      </w:r>
    </w:p>
    <w:p w14:paraId="04FD53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对比初版核心改进亮点：</w:t>
      </w:r>
    </w:p>
    <w:p w14:paraId="0F41BE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理顺电压 SOH 噪声机理，解决全文最大科学漏洞；</w:t>
      </w:r>
    </w:p>
    <w:p w14:paraId="001BA6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统一全文档所有统计数值，删除夸大极值表述；</w:t>
      </w:r>
    </w:p>
    <w:p w14:paraId="6FD1B0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规范 ANOVA 随机 / 固定因子分层，统计分析合规；</w:t>
      </w:r>
    </w:p>
    <w:p w14:paraId="3DBA14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新增真实电池数据集验证，大幅提升结论可信度；</w:t>
      </w:r>
    </w:p>
    <w:p w14:paraId="63836F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结论措辞高度克制，严格限定适用工况区间，不再过度推广行业准则；</w:t>
      </w:r>
    </w:p>
    <w:p w14:paraId="068790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审稿最终意见倾向</w:t>
      </w:r>
    </w:p>
    <w:p w14:paraId="2CA4C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大修接收（Major Revision），无需拒稿；修改要点集中在：补充多温度动态工况仿真、完整交互项敏感性分析、自主实物电池测试验证。</w:t>
      </w:r>
    </w:p>
    <w:p w14:paraId="45C14E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E5D66"/>
    <w:multiLevelType w:val="multilevel"/>
    <w:tmpl w:val="A67E5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05E8E47"/>
    <w:multiLevelType w:val="multilevel"/>
    <w:tmpl w:val="105E8E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310AB"/>
    <w:rsid w:val="0F503C2D"/>
    <w:rsid w:val="409310AB"/>
    <w:rsid w:val="5DDB4B89"/>
    <w:rsid w:val="7C62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2026-08-05T04:49:00Z</dcterms:created>
  <dc:creator>37639</dc:creator>
  <cp:lastModifiedBy>陈智磊</cp:lastModifiedBy>
  <dcterms:modified xsi:type="dcterms:W3CDTF">2026-08-05T11:25:17Z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8136776BF3F84CC69F8A8F444E72480E_13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