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7A9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IJF（International Journal of Fatigue）审稿人评审意见：论文矛盾、逻辑冲突、建模缺陷、结论局限性、数据与统计不一致问题汇总</w:t>
      </w:r>
    </w:p>
    <w:p w14:paraId="54C74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本文标题：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Method-Induced Uncertainty in Gear Bending Fatigue: Factorial Decomposition of Size-and-Surface Factor Sensitivity Under a Common ISO Stress Baseline</w:t>
      </w:r>
    </w:p>
    <w:p w14:paraId="19AD48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一、核心结构性矛盾：统一 ISO 应力基线与 “标准选择方差 55.3%” 结论的内在冲突（最致命硬伤）</w:t>
      </w:r>
    </w:p>
    <w:p w14:paraId="1D20A7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定义自相矛盾</w:t>
      </w:r>
    </w:p>
    <w:p w14:paraId="7A652A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作者明确声明：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55.3% 仅代表统一\(Y_{Sa}\)基线约束下，仅尺寸 - 表面修正公式带来的方差，是完整标准分歧的下界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；但全文摘要、引言、结论反复简化表述为「尺寸 / 表面标准是最大不确定性来源」，普通读者极易误解该数值为 ISO/AGMA/FKM 全套计算流程的总差异。</w:t>
      </w:r>
    </w:p>
    <w:p w14:paraId="44753D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矛盾点 1：2.3 节补充 native 应力链校核显示，若恢复各标准原生应力集中算法（AGMA 的J、FKM 的\(K_f\)），标准方差占比会从 52.1% 升至 64.4%（+12.3pp）；但全文所有核心图表（图 3、图 5、表 2）仅展示统一基线的 55.3%，</w:t>
      </w:r>
      <w:r>
        <w:rPr>
          <w:rStyle w:val="7"/>
          <w:color w:val="000000"/>
          <w:sz w:val="24"/>
          <w:szCs w:val="24"/>
          <w:bdr w:val="none" w:color="auto" w:sz="0" w:space="0"/>
        </w:rPr>
        <w:t>未同步标注该数值低估真实标准分歧</w:t>
      </w:r>
      <w:r>
        <w:rPr>
          <w:color w:val="000000"/>
          <w:sz w:val="24"/>
          <w:szCs w:val="24"/>
          <w:bdr w:val="none" w:color="auto" w:sz="0" w:space="0"/>
        </w:rPr>
        <w:t>，图表文字与正文限定条件割裂，图表存在误导性。</w:t>
      </w:r>
    </w:p>
    <w:p w14:paraId="63C625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矛盾点 2：作者一方面强调 “55.3% 是下界，完整标准差异更大，标准化协调收益更高”；另一方面在 4.6 工程标准化建议、5 结论第 1 条直接用 55.3% 作为政策依据，未做任何加权修正，论证前提与对策脱节。</w:t>
      </w:r>
    </w:p>
    <w:p w14:paraId="036655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建模控制逻辑的两难矛盾</w:t>
      </w:r>
    </w:p>
    <w:p w14:paraId="627AD2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作者采用统一\(Y_{Sa}=1.555\)作为控制变量，初衷是隔离「尺寸 / 表面修正公式」单一变量；但三大标准原生计算逻辑本身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不存在统一应力集中系数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56948F8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ISO：\(Y_{Sa}\)整合齿根应力集中；</w:t>
      </w:r>
    </w:p>
    <w:p w14:paraId="6A552E7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AGMA：用几何系数J实现应力缩放，无等效\(Y_{Sa}\)；</w:t>
      </w:r>
    </w:p>
    <w:p w14:paraId="22EC70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FKM：独立疲劳缺口系数\(K_f\)，完全独立于 ISO 应力链。 人为统一\(Y_{Sa}\)相当于强行修改 AGMA、FKM 官方计算流程，构建了现实中不存在的 “混合标准” 仿真环境： 1）该仿真体系</w:t>
      </w:r>
      <w:r>
        <w:rPr>
          <w:rStyle w:val="7"/>
          <w:color w:val="000000"/>
          <w:sz w:val="24"/>
          <w:szCs w:val="24"/>
          <w:bdr w:val="none" w:color="auto" w:sz="0" w:space="0"/>
        </w:rPr>
        <w:t>无工程落地对应场景</w:t>
      </w:r>
      <w:r>
        <w:rPr>
          <w:color w:val="000000"/>
          <w:sz w:val="24"/>
          <w:szCs w:val="24"/>
          <w:bdr w:val="none" w:color="auto" w:sz="0" w:space="0"/>
        </w:rPr>
        <w:t>，工程师不会混用 ISO 应力集中 + AGMA/FKM 表面系数； 2）作者承认该基线会低估标准分歧，但全文始终未量化 “低估程度对工程结论的扰动边界”，仅给出单一场景 + 12.3pp 的修正值，无法证明 “标准仍是第一大因素” 这一核心结论在全几何区间成立； 3）4.12 约束 1 承认：该统一基线仅对\(z_1=20,m_n=3\mathrm{mm}\)齿轮近似合理，低齿数、斜齿轮下偏差极大，但结论完全无几何适用边界提醒。</w:t>
      </w:r>
    </w:p>
    <w:p w14:paraId="1D9EDF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4559935" cy="3420110"/>
            <wp:effectExtent l="0" t="0" r="12065" b="889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3420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80A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rPr>
          <w:color w:val="FFFFFF"/>
          <w:sz w:val="21"/>
          <w:szCs w:val="21"/>
        </w:rPr>
      </w:pPr>
      <w:r>
        <w:rPr>
          <w:rFonts w:ascii="宋体" w:hAnsi="宋体" w:eastAsia="宋体" w:cs="宋体"/>
          <w:color w:val="FFFFFF"/>
          <w:kern w:val="0"/>
          <w:sz w:val="21"/>
          <w:szCs w:val="21"/>
          <w:bdr w:val="none" w:color="auto" w:sz="0" w:space="0"/>
          <w:lang w:val="en-US" w:eastAsia="zh-CN" w:bidi="ar"/>
        </w:rPr>
        <w:t>方差分解总图</w:t>
      </w:r>
    </w:p>
    <w:p w14:paraId="35A30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4646295" cy="3484880"/>
            <wp:effectExtent l="0" t="0" r="1905" b="127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3484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81C25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rPr>
          <w:color w:val="FFFFFF"/>
          <w:sz w:val="21"/>
          <w:szCs w:val="21"/>
        </w:rPr>
      </w:pPr>
      <w:r>
        <w:rPr>
          <w:rFonts w:ascii="宋体" w:hAnsi="宋体" w:eastAsia="宋体" w:cs="宋体"/>
          <w:color w:val="FFFFFF"/>
          <w:kern w:val="0"/>
          <w:sz w:val="21"/>
          <w:szCs w:val="21"/>
          <w:bdr w:val="none" w:color="auto" w:sz="0" w:space="0"/>
          <w:lang w:val="en-US" w:eastAsia="zh-CN" w:bidi="ar"/>
        </w:rPr>
        <w:t>粗糙度-标准交互图</w:t>
      </w:r>
    </w:p>
    <w:p w14:paraId="25CD0E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二、试验设计与方差分解的内在不一致（试验设计缺陷，统计结论存在偏向性）</w:t>
      </w:r>
    </w:p>
    <w:p w14:paraId="1731C1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析因设计因子自由度严重不对称，结论泛化存在逻辑欺骗</w:t>
      </w:r>
    </w:p>
    <w:p w14:paraId="578E91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5 类方法学因子（标准 3 水平、平均应力 4 水平、粗糙度 3 水平、S-N 曲线 2 水平、损伤准则 2 水平），共 10 个自由度；仅 1 类材料因子（S-N 曲线 2 水平，1 自由度）。</w:t>
      </w:r>
    </w:p>
    <w:p w14:paraId="4D797D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矛盾：作者得出 “方法学不确定性远大于材料不确定性”，但该结果</w:t>
      </w:r>
      <w:r>
        <w:rPr>
          <w:rStyle w:val="7"/>
          <w:color w:val="000000"/>
          <w:sz w:val="24"/>
          <w:szCs w:val="24"/>
          <w:bdr w:val="none" w:color="auto" w:sz="0" w:space="0"/>
        </w:rPr>
        <w:t>完全由设计自由度不对称导致</w:t>
      </w:r>
      <w:r>
        <w:rPr>
          <w:color w:val="000000"/>
          <w:sz w:val="24"/>
          <w:szCs w:val="24"/>
          <w:bdr w:val="none" w:color="auto" w:sz="0" w:space="0"/>
        </w:rPr>
        <w:t>，并非物理客观规律；4.4、4.11 小节作者自身承认该缺陷，却在摘要、结论完全弱化此关键限定，未向读者明确 “该排名不具备普适性”。</w:t>
      </w:r>
    </w:p>
    <w:p w14:paraId="4E22715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冲突：文中选用两条同材质、同热处理 42CrMo4 的 S-N 曲线，10⁶循环疲劳强度仅差 0.6MPa，天然压缩材料变异贡献至 2.5%；若加入渗碳钢、不同炉次 42CrMo、不同热处理 S-N 曲线，材料方差占比会大幅提升，但全文未区分「当前设计下的占比」和「物理层面材料真实不确定性量级」，极易造成读者误判。</w:t>
      </w:r>
    </w:p>
    <w:p w14:paraId="156634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方差占比依赖因子水平跨度，结论绝对化表述与前提冲突</w:t>
      </w:r>
    </w:p>
    <w:p w14:paraId="2B8C1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4.11 明确提出核心统计公理：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所有方差百分比仅对本研究选取的因子等级区间有效，更换因子水平后排名可完全反转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；但全文多处出现绝对化表述：</w:t>
      </w:r>
    </w:p>
    <w:p w14:paraId="4264E11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摘要：</w:t>
      </w:r>
      <w:r>
        <w:rPr>
          <w:rStyle w:val="8"/>
          <w:color w:val="000000"/>
          <w:sz w:val="24"/>
          <w:szCs w:val="24"/>
          <w:bdr w:val="none" w:color="auto" w:sz="0" w:space="0"/>
        </w:rPr>
        <w:t>the largest single source of method-induced uncertainty is the choice of size-and-surface correction standard itself</w:t>
      </w:r>
      <w:r>
        <w:rPr>
          <w:color w:val="000000"/>
          <w:sz w:val="24"/>
          <w:szCs w:val="24"/>
          <w:bdr w:val="none" w:color="auto" w:sz="0" w:space="0"/>
        </w:rPr>
        <w:t>（尺寸表面标准是最大单一不确定性源）；</w:t>
      </w:r>
    </w:p>
    <w:p w14:paraId="553BFF7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结论 5.1 直接固化该排名，未前置 “仅针对 700N・m、\(R_z=4/15/50\mathrm{μm}\)、4 种平均应力修正、两条 S-N 曲线” 的强约束；</w:t>
      </w:r>
    </w:p>
    <w:p w14:paraId="108D0A5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扭矩敏感性分析（3.6）已证明：600N・m 时粗糙度方差占比 34.1%，接近标准 40.1%；更高扭矩下平均应力修正占比反超粗糙度，因子排名随载荷动态变化。作者却未在核心结论中体现 “载荷依赖”，将单扭矩结果作为通用规律。</w:t>
      </w:r>
    </w:p>
    <w:p w14:paraId="632652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三、统计模型（AFT）与对比方法的矛盾、边界假设不自洽</w:t>
      </w:r>
    </w:p>
    <w:p w14:paraId="4C21D8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删失数据（Run-out）假设存在未验证的信息删失风险</w:t>
      </w:r>
    </w:p>
    <w:p w14:paraId="27BB1D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AFT 模型核心前提：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非信息删失（non-informative censoring）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，即是否发生 Run-out 与真实失效寿命独立，仅由预测方法决定。</w:t>
      </w:r>
    </w:p>
    <w:p w14:paraId="12CD1F5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矛盾：本文 Run-out 判定标准为 “有效应力低于材料 10⁶循环疲劳强度”，而有效应力直接由研究的 5 类方法因子计算得出 —— 删失机制与响应变量\(N_f\)强相关，天然违反非信息删失假设；4.12 约束 8 作者承认该假设无法通过现有数据检验，仅依靠阈值敏感性间接佐证，无严谨数学证明，AFT 分解结果存在系统性偏倚风险。</w:t>
      </w:r>
    </w:p>
    <w:p w14:paraId="359A21C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冲突：传统 Sobol/ANOVA 舍弃 58% 删失样本造成严重低估（表 3），作者以此论证 AFT 优越性；但未定量评估 AFT 在 “信息删失” 下自身的偏倚幅度，只单方面批判传统方法缺陷，统计论证片面。</w:t>
      </w:r>
    </w:p>
    <w:p w14:paraId="4634FD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模型选择逻辑轻微冲突</w:t>
      </w:r>
    </w:p>
    <w:p w14:paraId="7A35DB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文中验证对数正态 AFT 优于 Weibull-AFT（ΔAIC=+77.1），但补充测试显示对数逻辑斯蒂 AIC 更低；作者舍弃拟合更优的对数逻辑斯蒂，仅因 “对数正态和 Sobol 指数数学等价” 这一形式化理由，而非拟合精度，模型选择标准前后不统一：</w:t>
      </w:r>
    </w:p>
    <w:p w14:paraId="7E657A8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前文模型筛选以 AIC 为客观准则；</w:t>
      </w:r>
    </w:p>
    <w:p w14:paraId="66D8020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此处为维持与完整数据 Sobol 的数学对应，放弃更低 AIC 模型，统计选择标准双重标准，审稿人会质疑模型客观性。</w:t>
      </w:r>
    </w:p>
    <w:p w14:paraId="5A20AA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蒙特卡洛验证场景与真实研究删失率不匹配</w:t>
      </w:r>
    </w:p>
    <w:p w14:paraId="24D3D2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2.7.1 的蒙特卡洛校验仅采用 30% 删失率，而本文实际删失率 58%（接近模型可识别边界）；作者未说明 30% 删失下的无偏结论能否直接推广至 58% 高删失场景，校验与实际工况脱节，统计可靠性论证不完整。</w:t>
      </w:r>
    </w:p>
    <w:p w14:paraId="3FBC0F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四、工程建模多处简化假设、近似带来的前后表述不一致</w:t>
      </w:r>
    </w:p>
    <w:p w14:paraId="480682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粗糙度\(R_z-R_a\)换算近似的矛盾处理</w:t>
      </w:r>
    </w:p>
    <w:p w14:paraId="5B08BD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AGMA 采用\(R_a\)、ISO/FKM 采用\(R_z\)，全文统一用\(R_a≈R_z/6\)固定换算；4.12 约束 4 承认：锻造表面\(R_z/R_a\)范围 7~20，该换算会显著低估 AGMA 粗糙度惩罚，磨削表面又反向偏置，但作者仅说明偏差 &lt; 2pp，未在主结果图表标注该系统误差，正文定量结果与近似假设存在隐性偏差。</w:t>
      </w:r>
    </w:p>
    <w:p w14:paraId="1F1E30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FKM 缺口系数\(K_f\)近似的论证缺陷</w:t>
      </w:r>
    </w:p>
    <w:p w14:paraId="3518D5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原生应力校核时，FKM 的\(K_f\)仅用 Peterson/Neuber 简化估算，未执行 FKM 指南完整梯度计算流程；作者承认该近似会带来 ±19% 应力缩放偏差，却仅用单组近似值修正方差占比，未遍历\(K_f\)全取值区间，无法证明 “标准仍是第一大因素” 这一结论不受\(K_f\)计算方法扰动。</w:t>
      </w:r>
    </w:p>
    <w:p w14:paraId="577D25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ISO 粗糙度上限截断（\(R_z=40\mathrm{μm}\)）带来交互项低估</w:t>
      </w:r>
    </w:p>
    <w:p w14:paraId="3D4DB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ISO 公式适用上限\(R_z≤40\mathrm{μm}\)，研究选用\(R_z=50\mathrm{μm}\)锻造表面，人为截断粗糙度修正系数；4.12 约束 3 说明移除截断后标准 × 粗糙度交互项上升 0.3pp，但主表 2 交互项 1.2% 未标注是保守下界，交互效应定量数值偏低，工程解读存在偏差。</w:t>
      </w:r>
    </w:p>
    <w:p w14:paraId="04067F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五、载荷、材料、工况外推结论的矛盾与过度泛化</w:t>
      </w:r>
    </w:p>
    <w:p w14:paraId="17A875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残余应力处理的双重标准</w:t>
      </w:r>
    </w:p>
    <w:p w14:paraId="1F88E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全文基准模型假设无残余应力；作者明确：</w:t>
      </w:r>
    </w:p>
    <w:p w14:paraId="0CA5FE2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锻造表面（\(R_z=50\)μm）存在拉残余应力，会放大平均应力效应，提升 18.2% 占比；</w:t>
      </w:r>
    </w:p>
    <w:p w14:paraId="651367F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磨削表面存在压残余应力，降低平均应力贡献；</w:t>
      </w:r>
    </w:p>
    <w:p w14:paraId="00691D6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渗碳齿轮表层 200~400MPa 压残余应力，平均应力修正方差占比会大幅低于 18.2%。 但</w:t>
      </w:r>
      <w:r>
        <w:rPr>
          <w:rStyle w:val="7"/>
          <w:color w:val="000000"/>
          <w:sz w:val="24"/>
          <w:szCs w:val="24"/>
          <w:bdr w:val="none" w:color="auto" w:sz="0" w:space="0"/>
        </w:rPr>
        <w:t>摘要、结论完全不提残余应力对排名的颠覆性影响</w:t>
      </w:r>
      <w:r>
        <w:rPr>
          <w:color w:val="000000"/>
          <w:sz w:val="24"/>
          <w:szCs w:val="24"/>
          <w:bdr w:val="none" w:color="auto" w:sz="0" w:space="0"/>
        </w:rPr>
        <w:t>，仅在讨论段角落脚，极易让工业读者将无残余应力的理想仿真结果直接套用于量产齿轮，结论外推过度。</w:t>
      </w:r>
    </w:p>
    <w:p w14:paraId="167B58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变幅载荷损伤准则结论矛盾</w:t>
      </w:r>
    </w:p>
    <w:p w14:paraId="3E65A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恒定振幅下 Miner / 修正 Miner 方差仅 0.3%，作者明确该数值不能推广至变幅载荷（变幅时损伤准则会成为主导因子）；但 4.10 工程设计案例、标准化建议完全基于恒定振幅结论，未区分载荷谱类型，给变速变速箱、风电齿轮等变幅工况给出误导性管控优先级。</w:t>
      </w:r>
    </w:p>
    <w:p w14:paraId="61257B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材料局限表述弱化</w:t>
      </w:r>
    </w:p>
    <w:p w14:paraId="30A41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仅针对调质 42CrMo4（穿透硬化），不适用渗碳、氮化齿轮；但引言、工程启示部分频繁对标汽车、航空齿轮（主流渗碳工艺），未清晰割裂两类齿轮的结论适用边界，行文逻辑割裂。</w:t>
      </w:r>
    </w:p>
    <w:p w14:paraId="3A793A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六、图表、表格与正文文字不一致（形式硬伤，IJF 审稿重点核查）</w:t>
      </w:r>
    </w:p>
    <w:p w14:paraId="363D724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表 2：标准方差 55.3%；图 3、图 5 展示 bootstrap 均值 55.6%，正文未统一说明两点估计与 bootstrap 均值差异来源，数值不统一无解释；</w:t>
      </w:r>
    </w:p>
    <w:p w14:paraId="46810A2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图 6（粗糙度 - 标准交互）：ISO 所有粗糙度均为 Run-out，但正文 3.4 仅文字描述，图表无标注 “ISO 无有限寿命数据，AGMA-FKM 差值仅适用于\(R_z≥15\mathrm{μm}\)”；</w:t>
      </w:r>
    </w:p>
    <w:p w14:paraId="18E2518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表 3 AFT vs Sobol 对比：Sobol 粗糙度方差 15.0%、AFT 22.6%，差值 7.6pp；正文 4.7 文字描述简化为 “粗糙度被低估”，未说明低估幅度，定量文字缺失；</w:t>
      </w:r>
    </w:p>
    <w:p w14:paraId="338ECEF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所有图表标题均省略关键限定：</w:t>
      </w:r>
      <w:r>
        <w:rPr>
          <w:rStyle w:val="8"/>
          <w:color w:val="000000"/>
          <w:sz w:val="24"/>
          <w:szCs w:val="24"/>
          <w:bdr w:val="none" w:color="auto" w:sz="0" w:space="0"/>
        </w:rPr>
        <w:t>common ISO \(Y_{Sa}\) baseline</w:t>
      </w:r>
      <w:r>
        <w:rPr>
          <w:color w:val="000000"/>
          <w:sz w:val="24"/>
          <w:szCs w:val="24"/>
          <w:bdr w:val="none" w:color="auto" w:sz="0" w:space="0"/>
        </w:rPr>
        <w:t>，仅正文小字标注，图表独立阅读时会丢失最核心建模约束。</w:t>
      </w:r>
    </w:p>
    <w:p w14:paraId="2344B2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七、创新性表述与前人研究对比的逻辑冲突</w:t>
      </w:r>
    </w:p>
    <w:p w14:paraId="21B101E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作者宣称：</w:t>
      </w:r>
      <w:r>
        <w:rPr>
          <w:rStyle w:val="7"/>
          <w:color w:val="000000"/>
          <w:sz w:val="24"/>
          <w:szCs w:val="24"/>
          <w:bdr w:val="none" w:color="auto" w:sz="0" w:space="0"/>
        </w:rPr>
        <w:t>首次用 AFT 析因分解量化齿轮弯曲疲劳的方法诱导不确定性</w:t>
      </w:r>
      <w:r>
        <w:rPr>
          <w:color w:val="000000"/>
          <w:sz w:val="24"/>
          <w:szCs w:val="24"/>
          <w:bdr w:val="none" w:color="auto" w:sz="0" w:space="0"/>
        </w:rPr>
        <w:t>；但 2.7 承认 AFT + 删失析因在轴、焊接件疲劳可靠性领域已有成熟应用，仅 “应用到齿轮多标准对比” 有创新；全文夸大原创性，未清晰区分 “统计框架本身” 和 “齿轮场景应用”，创新点表述注水。</w:t>
      </w:r>
    </w:p>
    <w:p w14:paraId="65CEFF5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前人研究对比矛盾：Bonaiti、Pagliari 仅对比两套标准差异，本文同时纳入三套标准 + 四类平均应力 + 粗糙度等多因子，作者正确说明互补性；但 4.4 声称 “现有研究无方差分解排序”，忽略 Du 等人在疲劳塑性模型中 Sobol 全局方差分解工作，文献评述不完整，论证片面。</w:t>
      </w:r>
    </w:p>
    <w:p w14:paraId="6D033B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八、工程建议与仿真前提脱节（应用层面矛盾）</w:t>
      </w:r>
    </w:p>
    <w:p w14:paraId="0E28A3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4.10 设计管控方案给出三层优先级：1）统一标准、2）控制粗糙度、3）固定平均应力修正；该方案仅适配 700N・m 高应力工况。但工业绝大多数齿轮运行在 600N・m 以下近耐久极限区间，此时粗糙度贡献反超平均应力修正，管控优先级应调换；作者未给出分载荷区间的差异化管控方案，工程指导一刀切，存在实践误导。</w:t>
      </w:r>
    </w:p>
    <w:p w14:paraId="2391F5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九、可复现性与试验验证的内在短板（IJF 顶刊核心要求）</w:t>
      </w:r>
    </w:p>
    <w:p w14:paraId="27474DC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全文为纯数值仿真，无任何齿轮弯曲疲劳物理试验验证；4.12 约束 9 明确承认仿真结果无实测对标，所有方差占比、标准偏移量仅为方法演示，非工程可用参数；但 4.6 标准化建议、表 5 风险分级给出具体量化阈值（0.5dex、1.5dex），将纯仿真数字包装成设计规范指标，仿真演示与工程准则混淆，存在虚假应用导向。</w:t>
      </w:r>
    </w:p>
    <w:p w14:paraId="40E8080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代码仅声明随补充材料提供，但未在正文关键定量结果处交叉引用代码模块校验逻辑（如</w:t>
      </w:r>
      <w:r>
        <w:rPr>
          <w:rStyle w:val="9"/>
          <w:color w:val="000000"/>
          <w:sz w:val="24"/>
          <w:szCs w:val="24"/>
          <w:bdr w:val="none" w:color="auto" w:sz="0" w:space="0"/>
        </w:rPr>
        <w:t>native stress sensitivity.py</w:t>
      </w:r>
      <w:r>
        <w:rPr>
          <w:color w:val="000000"/>
          <w:sz w:val="24"/>
          <w:szCs w:val="24"/>
          <w:bdr w:val="none" w:color="auto" w:sz="0" w:space="0"/>
        </w:rPr>
        <w:t>、</w:t>
      </w:r>
      <w:r>
        <w:rPr>
          <w:rStyle w:val="9"/>
          <w:color w:val="000000"/>
          <w:sz w:val="24"/>
          <w:szCs w:val="24"/>
          <w:bdr w:val="none" w:color="auto" w:sz="0" w:space="0"/>
        </w:rPr>
        <w:t>threshold sensitivity.py</w:t>
      </w:r>
      <w:r>
        <w:rPr>
          <w:color w:val="000000"/>
          <w:sz w:val="24"/>
          <w:szCs w:val="24"/>
          <w:bdr w:val="none" w:color="auto" w:sz="0" w:space="0"/>
        </w:rPr>
        <w:t>），审稿人无法快速核验数值计算过程，可复现性说明不充分。</w:t>
      </w:r>
    </w:p>
    <w:p w14:paraId="0C8790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十、总结：按 IJF 审稿意见分级归纳（可直接用于审稿报告）</w:t>
      </w:r>
    </w:p>
    <w:p w14:paraId="32216C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Major Revisions（重大修改，不修正将拒稿）</w:t>
      </w:r>
    </w:p>
    <w:p w14:paraId="2102BC1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统一\(Y_{Sa}\)基线带来的系统性低估必须在所有图表、摘要、结论醒目标注，补充多几何、多\(K_f/J\)区间的敏感性包络，证明 “标准为第一不确定性源” 结论具备鲁棒性；</w:t>
      </w:r>
    </w:p>
    <w:p w14:paraId="3FEC73D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修正绝对化结论表述，全文所有方差占比、因子排名强制前置限定条件：载荷、材料、热处理、残余应力、粗糙度区间、恒定振幅加载；</w:t>
      </w:r>
    </w:p>
    <w:p w14:paraId="40A0906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补充信息删失假设的定量偏倚评估，或降低 AFT 模型结论权重，不再单方面否定传统 Sobol/ANOVA；</w:t>
      </w:r>
    </w:p>
    <w:p w14:paraId="1565F0F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区分 “本仿真设计下的方差占比” 和 “物理层面材料 / 方法不确定性客观量级”，修正自由度不对称带来的误导性结论。</w:t>
      </w:r>
    </w:p>
    <w:p w14:paraId="3F467C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Minor Revisions（次要修改，必须完善）</w:t>
      </w:r>
    </w:p>
    <w:p w14:paraId="0911116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统一图表、表格、正文的数值，补充 bootstrap 均值与单点估计差异说明；</w:t>
      </w:r>
    </w:p>
    <w:p w14:paraId="2D38DDD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修正模型选择双重标准，解释为何放弃 AIC 更优的对数逻辑斯蒂 AFT；</w:t>
      </w:r>
    </w:p>
    <w:p w14:paraId="4C20A97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所有工程管控、标准化建议分载荷、热处理工况区分，删除一刀切设计方案；</w:t>
      </w:r>
    </w:p>
    <w:p w14:paraId="4F6FFD3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补充\(R_z-R_a\)换算、ISO 粗糙度截断、FKM \(K_f\)近似带来的误差区间标注；</w:t>
      </w:r>
    </w:p>
    <w:p w14:paraId="79505CB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弱化创新点夸大表述，清晰区分统计框架成熟性与齿轮场景应用创新；</w:t>
      </w:r>
    </w:p>
    <w:p w14:paraId="24F3542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明确区分 “纯数值仿真演示工具” 和 “经过试验验证的齿轮设计准则”，删除无实测支撑的量化风险阈值。</w:t>
      </w:r>
    </w:p>
    <w:p w14:paraId="496EFE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Clarifications（仅需文字澄清，无数据修改）</w:t>
      </w:r>
    </w:p>
    <w:p w14:paraId="14BE3BF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补充 58% 高删失率下蒙特卡洛校验适配性说明；</w:t>
      </w:r>
    </w:p>
    <w:p w14:paraId="34792FD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图 6、图 3、图 5 增加基线约束标注，独立图表可完整解读；</w:t>
      </w:r>
    </w:p>
    <w:p w14:paraId="27F4287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变幅载荷、渗碳齿轮、残余应力对因子排名的颠覆性影响在摘要 / 结论简要提示，不再仅深埋讨论小节。</w:t>
      </w:r>
    </w:p>
    <w:p w14:paraId="26DB3D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1C807"/>
    <w:multiLevelType w:val="multilevel"/>
    <w:tmpl w:val="8811C8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0D25012"/>
    <w:multiLevelType w:val="multilevel"/>
    <w:tmpl w:val="A0D250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EFB63F"/>
    <w:multiLevelType w:val="multilevel"/>
    <w:tmpl w:val="B7EFB6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AA78F9F"/>
    <w:multiLevelType w:val="multilevel"/>
    <w:tmpl w:val="CAA78F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B11A9AB"/>
    <w:multiLevelType w:val="multilevel"/>
    <w:tmpl w:val="DB11A9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467EF48"/>
    <w:multiLevelType w:val="multilevel"/>
    <w:tmpl w:val="0467EF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69414EA"/>
    <w:multiLevelType w:val="multilevel"/>
    <w:tmpl w:val="069414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9C400C2"/>
    <w:multiLevelType w:val="multilevel"/>
    <w:tmpl w:val="09C400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FC9EFE4"/>
    <w:multiLevelType w:val="multilevel"/>
    <w:tmpl w:val="0FC9E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766C9EC"/>
    <w:multiLevelType w:val="multilevel"/>
    <w:tmpl w:val="2766C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1754F34"/>
    <w:multiLevelType w:val="multilevel"/>
    <w:tmpl w:val="41754F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50957EF"/>
    <w:multiLevelType w:val="multilevel"/>
    <w:tmpl w:val="550957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6654C3D"/>
    <w:multiLevelType w:val="multilevel"/>
    <w:tmpl w:val="66654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0"/>
  </w:num>
  <w:num w:numId="6">
    <w:abstractNumId w:val="12"/>
  </w:num>
  <w:num w:numId="7">
    <w:abstractNumId w:val="8"/>
  </w:num>
  <w:num w:numId="8">
    <w:abstractNumId w:val="6"/>
  </w:num>
  <w:num w:numId="9">
    <w:abstractNumId w:val="10"/>
  </w:num>
  <w:num w:numId="10">
    <w:abstractNumId w:val="4"/>
  </w:num>
  <w:num w:numId="11">
    <w:abstractNumId w:val="5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E6D67"/>
    <w:rsid w:val="43BE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2026-08-05T05:02:00Z</dcterms:created>
  <dc:creator>陈智磊</dc:creator>
  <cp:lastModifiedBy>陈智磊</cp:lastModifiedBy>
  <dcterms:modified xsi:type="dcterms:W3CDTF">2026-08-05T05:03:32Z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C136CC00F4B34B71B5D22360173AE2A0_11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