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81BD39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第三轮审稿意见 (Third Round Review Report)</w:t>
      </w:r>
    </w:p>
    <w:p w14:paraId="55D4CCA2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稿件标题: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Method-Induced Divergence in Gear Fatigue Life Prediction: A Factorial Variance Decomposition</w:t>
      </w:r>
    </w:p>
    <w:p w14:paraId="1EB149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2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137790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总体评价</w:t>
      </w:r>
    </w:p>
    <w:p w14:paraId="3CCEDDED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这是一次脱胎换骨的修订。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v2.4 相比 v2.2 有了质的飞跃。作者展示出了令人印象深刻的响应速度和修改诚意：</w:t>
      </w:r>
    </w:p>
    <w:tbl>
      <w:tblPr>
        <w:tblW w:w="1128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6"/>
        <w:gridCol w:w="2562"/>
        <w:gridCol w:w="6763"/>
      </w:tblGrid>
      <w:tr w14:paraId="0346F9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868ED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问题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DBE48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v2.2 状态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8963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v2.4 状态</w:t>
            </w:r>
          </w:p>
        </w:tc>
      </w:tr>
      <w:tr w14:paraId="305E14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6F3B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ISO 6336 公式外推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9D24D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❌ 未处理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AEC39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明确说明了 </w:t>
            </w:r>
            <w:r>
              <w:rPr>
                <w:rFonts w:ascii="Times New Roman" w:hAnsi="Times New Roman" w:eastAsia="Times New Roman" w:cs="Times New Roman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R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z</w:t>
            </w:r>
            <w:r>
              <w:rPr>
                <w:rFonts w:ascii="KaTeX_Math" w:hAnsi="KaTeX_Math" w:eastAsia="KaTeX_Math" w:cs="KaTeX_Math"/>
                <w:i/>
                <w:i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R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14"/>
                <w:szCs w:val="14"/>
                <w:lang w:val="en-US" w:eastAsia="zh-CN" w:bidi="ar"/>
              </w:rPr>
              <w:t>z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1"/>
                <w:szCs w:val="1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有效范围（0.5–40 μm）及截断处理（capped at 0.907）</w:t>
            </w:r>
          </w:p>
        </w:tc>
      </w:tr>
      <w:tr w14:paraId="5AF397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B829D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Kt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K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14"/>
                <w:szCs w:val="14"/>
                <w:lang w:val="en-US" w:eastAsia="zh-CN" w:bidi="ar"/>
              </w:rPr>
              <w:t>t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1"/>
                <w:szCs w:val="1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双重计入风险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5BD4D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❌ 来源不明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F3C0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完全移除了 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Kf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K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14"/>
                <w:szCs w:val="14"/>
                <w:lang w:val="en-US" w:eastAsia="zh-CN" w:bidi="ar"/>
              </w:rPr>
              <w:t>f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1"/>
                <w:szCs w:val="1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开关，改为通过 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YSa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Y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14"/>
                <w:szCs w:val="14"/>
                <w:lang w:val="en-US" w:eastAsia="zh-CN" w:bidi="ar"/>
              </w:rPr>
              <w:t>Sa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1"/>
                <w:szCs w:val="1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处理应力集中，逻辑清晰</w:t>
            </w:r>
          </w:p>
        </w:tc>
      </w:tr>
      <w:tr w14:paraId="4C2FA7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92D7C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图-文数据不一致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23AAE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❌ 存在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848B3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已修正</w:t>
            </w:r>
          </w:p>
        </w:tc>
      </w:tr>
      <w:tr w14:paraId="1E9BC8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AF63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标题过长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B1E77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❌ 是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03D7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精简</w:t>
            </w:r>
          </w:p>
        </w:tc>
      </w:tr>
      <w:tr w14:paraId="788466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41E07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自引未发表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1C329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❌ 标注为 "submitted"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C8E9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改为 "under review"</w:t>
            </w:r>
          </w:p>
        </w:tc>
      </w:tr>
      <w:tr w14:paraId="61836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05F4D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设计空间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5BC95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288 combos, 180 finite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98BE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144 combos, 116 finite（更简洁）</w:t>
            </w:r>
          </w:p>
        </w:tc>
      </w:tr>
      <w:tr w14:paraId="6BAED5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6E5A8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扭矩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C5F7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350 N·m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8F9DC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700 N·m（应力进入敏感区）</w:t>
            </w:r>
          </w:p>
        </w:tc>
      </w:tr>
    </w:tbl>
    <w:p w14:paraId="5679161B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这篇论文现在已经达到了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《International Journal of Fatigue》发表水平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的候选状态。以下评审意见分为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必须修改（阻塞性）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和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建议修改（非阻塞性）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两类。</w:t>
      </w:r>
    </w:p>
    <w:p w14:paraId="2687DA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3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A04FD7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一、必须修改（阻塞性问题）</w:t>
      </w:r>
    </w:p>
    <w:p w14:paraId="5577A32D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 ISO 6336-3 的 </w:t>
      </w:r>
      <w:r>
        <w:rPr>
          <w:rFonts w:hint="default" w:ascii="Times New Roman" w:hAnsi="Times New Roman" w:eastAsia="Times New Roman" w:cs="Times New Roman"/>
          <w:b/>
          <w:bCs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YR rel T</w:t>
      </w:r>
      <w:r>
        <w:rPr>
          <w:rFonts w:hint="default" w:ascii="KaTeX_Math" w:hAnsi="KaTeX_Math" w:eastAsia="KaTeX_Math" w:cs="KaTeX_Math"/>
          <w:b/>
          <w:bCs/>
          <w:i/>
          <w:iCs/>
          <w:caps w:val="0"/>
          <w:color w:val="0F1115"/>
          <w:spacing w:val="0"/>
          <w:sz w:val="25"/>
          <w:szCs w:val="25"/>
          <w:shd w:val="clear" w:fill="FFFFFF"/>
        </w:rPr>
        <w:t>Y</w:t>
      </w:r>
      <w:r>
        <w:rPr>
          <w:rFonts w:hint="default" w:ascii="KaTeX_Math" w:hAnsi="KaTeX_Math" w:eastAsia="KaTeX_Math" w:cs="KaTeX_Math"/>
          <w:b/>
          <w:bCs/>
          <w:i/>
          <w:iCs/>
          <w:caps w:val="0"/>
          <w:color w:val="0F1115"/>
          <w:spacing w:val="0"/>
          <w:sz w:val="14"/>
          <w:szCs w:val="14"/>
          <w:shd w:val="clear" w:fill="FFFFFF"/>
        </w:rPr>
        <w:t>R</w:t>
      </w:r>
      <w:r>
        <w:rPr>
          <w:rFonts w:hint="default" w:ascii="Times New Roman" w:hAnsi="Times New Roman" w:eastAsia="Times New Roman" w:cs="Times New Roman"/>
          <w:b/>
          <w:bCs/>
          <w:caps w:val="0"/>
          <w:color w:val="0F1115"/>
          <w:spacing w:val="0"/>
          <w:sz w:val="14"/>
          <w:szCs w:val="14"/>
          <w:shd w:val="clear" w:fill="FFFFFF"/>
        </w:rPr>
        <w:t>rel</w:t>
      </w:r>
      <w:r>
        <w:rPr>
          <w:rFonts w:hint="default" w:ascii="KaTeX_Math" w:hAnsi="KaTeX_Math" w:eastAsia="KaTeX_Math" w:cs="KaTeX_Math"/>
          <w:b/>
          <w:bCs/>
          <w:i/>
          <w:iCs/>
          <w:caps w:val="0"/>
          <w:color w:val="0F1115"/>
          <w:spacing w:val="0"/>
          <w:sz w:val="14"/>
          <w:szCs w:val="14"/>
          <w:shd w:val="clear" w:fill="FFFFFF"/>
        </w:rPr>
        <w:t>T</w:t>
      </w:r>
      <w:r>
        <w:rPr>
          <w:rFonts w:hint="default" w:ascii="Times New Roman" w:hAnsi="Times New Roman" w:eastAsia="Times New Roman" w:cs="Times New Roman"/>
          <w:b/>
          <w:bCs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 公式语境不完整 ⚠️</w:t>
      </w:r>
    </w:p>
    <w:p w14:paraId="4F7A39F4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作者在 Switch 4 中给出了：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YR rel T=1.674−0.529(Rz+1)0.1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Y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R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rel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=1.674−0.529(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R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z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+1)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0.1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并注明了有效范围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0.5≤Rz≤40 μm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0.5≤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R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z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≤40 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μ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m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，以及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Rz&gt;40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R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z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&gt;40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时取 0.907。</w:t>
      </w:r>
    </w:p>
    <w:p w14:paraId="3D30F2AD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：这个公式仅适用于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调质钢（quenched and tempered steel）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和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渗碳钢（case-carburized steel）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齿根（tooth root）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。但原文中没有明确说明这一点。ISO 6336-3:2019 Annex B 中明确区分了：</w:t>
      </w:r>
    </w:p>
    <w:p w14:paraId="60BAB7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DF4548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调质/渗碳钢的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YR rel T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Y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R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rel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（式 B.1，即本文所用）</w:t>
      </w:r>
    </w:p>
    <w:p w14:paraId="3AB0B1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2137403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氮化钢的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YR rel T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Y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R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rel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（式 B.2，不同系数）</w:t>
      </w:r>
    </w:p>
    <w:p w14:paraId="36E71F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1419272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感应淬火钢的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YR rel T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Y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R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rel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（式 B.3，不同系数）</w:t>
      </w:r>
    </w:p>
    <w:p w14:paraId="771CF3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705B07A5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修改要求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 Switch 4 的 ISO 6336 条目下，增加一句话明确说明该公式适用于"quenched and tempered"材料（与本文的 42CrMo4/AISI 4140 一致），并将此写入局限性中。</w:t>
      </w:r>
    </w:p>
    <w:p w14:paraId="018164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4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F8E0A4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 FKM 的 </w:t>
      </w:r>
      <w:r>
        <w:rPr>
          <w:rFonts w:hint="default" w:ascii="Times New Roman" w:hAnsi="Times New Roman" w:eastAsia="Times New Roman" w:cs="Times New Roman"/>
          <w:b/>
          <w:bCs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Kd</w:t>
      </w:r>
      <w:r>
        <w:rPr>
          <w:rFonts w:hint="default" w:ascii="KaTeX_Math" w:hAnsi="KaTeX_Math" w:eastAsia="KaTeX_Math" w:cs="KaTeX_Math"/>
          <w:b/>
          <w:bCs/>
          <w:i/>
          <w:iCs/>
          <w:caps w:val="0"/>
          <w:color w:val="0F1115"/>
          <w:spacing w:val="0"/>
          <w:sz w:val="25"/>
          <w:szCs w:val="25"/>
          <w:shd w:val="clear" w:fill="FFFFFF"/>
        </w:rPr>
        <w:t>K</w:t>
      </w:r>
      <w:r>
        <w:rPr>
          <w:rFonts w:hint="default" w:ascii="KaTeX_Math" w:hAnsi="KaTeX_Math" w:eastAsia="KaTeX_Math" w:cs="KaTeX_Math"/>
          <w:b/>
          <w:bCs/>
          <w:i/>
          <w:iCs/>
          <w:caps w:val="0"/>
          <w:color w:val="0F1115"/>
          <w:spacing w:val="0"/>
          <w:sz w:val="14"/>
          <w:szCs w:val="14"/>
          <w:shd w:val="clear" w:fill="FFFFFF"/>
        </w:rPr>
        <w:t>d</w:t>
      </w:r>
      <w:r>
        <w:rPr>
          <w:rFonts w:hint="default" w:ascii="Times New Roman" w:hAnsi="Times New Roman" w:eastAsia="Times New Roman" w:cs="Times New Roman"/>
          <w:b/>
          <w:bCs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（统计尺寸因子）公式来源需要澄清</w:t>
      </w:r>
    </w:p>
    <w:p w14:paraId="5F260B8A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作者给出：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Kd=1−0.05⋅log⁡10(mn⋅10)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K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d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=1−0.05⋅log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10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m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⋅10)</w:t>
      </w:r>
    </w:p>
    <w:p w14:paraId="5A153622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：FKM 7th ed. 的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Kd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K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d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（statistical size factor）并非一个单一公式，而是基于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构件特征尺寸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应力梯度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的查找表或公式。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Kd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K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d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的精确值取决于：</w:t>
      </w:r>
    </w:p>
    <w:p w14:paraId="421C471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1A1E86C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构件的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应力梯度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（bending vs. tension）</w:t>
      </w:r>
    </w:p>
    <w:p w14:paraId="28E892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5DA0403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材料组别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（钢、铸钢、铸铁等）</w:t>
      </w:r>
    </w:p>
    <w:p w14:paraId="3CFB47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2F5D9CE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特征尺寸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（对于齿轮，通常取齿根圆角处的有效体积）</w:t>
      </w:r>
    </w:p>
    <w:p w14:paraId="30B5E38E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46D9157F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作者使用的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Kd=1−0.05⋅log⁡10(mn⋅10)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K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d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=1−0.05⋅log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10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m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⋅10)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可能是一个针对齿轮弯曲的简化近似。请确认该公式的来源（是 FKM 的某个特定章节？还是作者自己的简化？），并在正文中注明出处。</w:t>
      </w:r>
    </w:p>
    <w:p w14:paraId="77C3DCE8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如果这是一个工程近似而非 FKM 原文公式，则应在局限性中明确说明。</w:t>
      </w:r>
    </w:p>
    <w:p w14:paraId="0B0024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5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567480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 ANOVA 表 </w:t>
      </w:r>
      <w:r>
        <w:rPr>
          <w:rFonts w:hint="default" w:ascii="Times New Roman" w:hAnsi="Times New Roman" w:eastAsia="Times New Roman" w:cs="Times New Roman"/>
          <w:b/>
          <w:bCs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F</w:t>
      </w:r>
      <w:r>
        <w:rPr>
          <w:rFonts w:hint="default" w:ascii="KaTeX_Math" w:hAnsi="KaTeX_Math" w:eastAsia="KaTeX_Math" w:cs="KaTeX_Math"/>
          <w:b/>
          <w:bCs/>
          <w:i/>
          <w:iCs/>
          <w:caps w:val="0"/>
          <w:color w:val="0F1115"/>
          <w:spacing w:val="0"/>
          <w:sz w:val="25"/>
          <w:szCs w:val="25"/>
          <w:shd w:val="clear" w:fill="FFFFFF"/>
        </w:rPr>
        <w:t>F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-统计量的计算验证</w:t>
      </w:r>
    </w:p>
    <w:p w14:paraId="0DD5D253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我复核了表 1 中的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F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F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值：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0"/>
        <w:gridCol w:w="884"/>
        <w:gridCol w:w="679"/>
        <w:gridCol w:w="1584"/>
        <w:gridCol w:w="2405"/>
        <w:gridCol w:w="1268"/>
      </w:tblGrid>
      <w:tr w14:paraId="6C69FD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AEBBB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75CE1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SS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64189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df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EB8D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MS = SS/df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F48A4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F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F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= MS / MSE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86642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文中 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F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F</w:t>
            </w:r>
          </w:p>
        </w:tc>
      </w:tr>
      <w:tr w14:paraId="2D59C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FC2F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标准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3245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40.2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CD68A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BFE1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20.10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9FDB9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20.10 / 0.295 = 68.1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A634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67.9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✓</w:t>
            </w:r>
          </w:p>
        </w:tc>
      </w:tr>
      <w:tr w14:paraId="6D51A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C37B8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平均应力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8F60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39.9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7DCBE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0003A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13.30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69C35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13.30 / 0.295 = 45.1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BF44F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45.0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✓</w:t>
            </w:r>
          </w:p>
        </w:tc>
      </w:tr>
      <w:tr w14:paraId="611CE5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9FE22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Rz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7951D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11.0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6C184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A322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5.50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65B0F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5.50 / 0.295 = 18.6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16C4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18.6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✓</w:t>
            </w:r>
          </w:p>
        </w:tc>
      </w:tr>
      <w:tr w14:paraId="1AE7B8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6808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交互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7098B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A7153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F5CC6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1.625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F206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1.625 / 0.295 = 5.51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993E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5.5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✓</w:t>
            </w:r>
          </w:p>
        </w:tc>
      </w:tr>
      <w:tr w14:paraId="46824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E86A7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S-N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4BF9C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28AAE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1129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0.90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643E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0.90 / 0.295 = 3.05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ED95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2.9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✓</w:t>
            </w:r>
          </w:p>
        </w:tc>
      </w:tr>
      <w:tr w14:paraId="6DFBC2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BC4F7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损伤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4C2B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8F92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5EC4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0.70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F163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0.70 / 0.295 = 2.37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9F07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2.4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✓</w:t>
            </w:r>
          </w:p>
        </w:tc>
      </w:tr>
    </w:tbl>
    <w:p w14:paraId="4766F4BE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所有数值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自洽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。但有一个小问题：残差 SS = 30.1，df = 102，MSE = 30.1/102 = 0.2951。文中未给出 MSE，我建议在表中增加一行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Mean Square Error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以提升透明度，或在表注中说明。</w:t>
      </w:r>
    </w:p>
    <w:p w14:paraId="6A1258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B7E60B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4. 图 1 的标题与正文 </w:t>
      </w:r>
      <w:r>
        <w:rPr>
          <w:rFonts w:hint="default" w:ascii="Times New Roman" w:hAnsi="Times New Roman" w:eastAsia="Times New Roman" w:cs="Times New Roman"/>
          <w:b/>
          <w:bCs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Nf</w:t>
      </w:r>
      <w:r>
        <w:rPr>
          <w:rFonts w:hint="default" w:ascii="KaTeX_Math" w:hAnsi="KaTeX_Math" w:eastAsia="KaTeX_Math" w:cs="KaTeX_Math"/>
          <w:b/>
          <w:bCs/>
          <w:i/>
          <w:iCs/>
          <w:caps w:val="0"/>
          <w:color w:val="0F1115"/>
          <w:spacing w:val="0"/>
          <w:sz w:val="25"/>
          <w:szCs w:val="25"/>
          <w:shd w:val="clear" w:fill="FFFFFF"/>
        </w:rPr>
        <w:t>N</w:t>
      </w:r>
      <w:r>
        <w:rPr>
          <w:rFonts w:hint="default" w:ascii="KaTeX_Math" w:hAnsi="KaTeX_Math" w:eastAsia="KaTeX_Math" w:cs="KaTeX_Math"/>
          <w:b/>
          <w:bCs/>
          <w:i/>
          <w:iCs/>
          <w:caps w:val="0"/>
          <w:color w:val="0F1115"/>
          <w:spacing w:val="0"/>
          <w:sz w:val="14"/>
          <w:szCs w:val="14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b/>
          <w:bCs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 范围不一致（再次检查）</w:t>
      </w:r>
    </w:p>
    <w:p w14:paraId="4979B700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正文第 4.5 节：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3.3×102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3.3×10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到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3.1×107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3.1×10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7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周期（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102.52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10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2.52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到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107.50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10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7.50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，跨度 4.98 dex）。</w:t>
      </w:r>
    </w:p>
    <w:p w14:paraId="0BC82672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图 1 标题中写："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Nf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N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spans from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3.3×102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3.3×10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to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3.1×107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3.1×10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7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cycles (5.0~dex) among 116 finite-life entries"。</w:t>
      </w:r>
    </w:p>
    <w:p w14:paraId="395A163B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现在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一致了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。✅</w:t>
      </w:r>
    </w:p>
    <w:p w14:paraId="320C21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1ED221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二、建议修改（非阻塞性，但会提升论文质量）</w:t>
      </w:r>
    </w:p>
    <w:p w14:paraId="7D558897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5. 建议将图 3 中的公式标注到图中</w:t>
      </w:r>
    </w:p>
    <w:p w14:paraId="6C90B23A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图 3 显示的是 "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Rz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R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z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× Standard" 交互作用。建议在图注中简要说明三个标准的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Rz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R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z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敏感度差异（例如：ISO 在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Rz&gt;40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R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z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&gt;40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时截断，FKM 最敏感，AGMA 最平缓）。这将帮助读者直接将公式特征与可视化结果对应起来。</w:t>
      </w:r>
    </w:p>
    <w:p w14:paraId="186AD1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FF1C77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6. 关于“应力集中”处理的讨论可以更精炼</w:t>
      </w:r>
    </w:p>
    <w:p w14:paraId="60C9278D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作者在 Methods 2.4 节中详细说明了移除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Kf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K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的理由（避免双重计入）。这段论述是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正确且必要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的，但略显冗长。我建议适当精简，将关键逻辑（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YSa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Y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Sa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已处理几何应力集中，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Kf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K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会双重计入）压缩至 3-4 句话，其余内容移至 Discussion 或脚注。</w:t>
      </w:r>
    </w:p>
    <w:p w14:paraId="3D4986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975B3D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7. 摘要中的数字一致性问题</w:t>
      </w:r>
    </w:p>
    <w:p w14:paraId="601D8518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摘要中写道：</w:t>
      </w:r>
    </w:p>
    <w:p w14:paraId="75DF359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"Surface roughness contributes 8.5%, with a Standard×Rz interaction of 5.0%."</w:t>
      </w:r>
    </w:p>
    <w:p w14:paraId="0E61A3D2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但在表 1 中，Rz 的 Var.% 为 8.5，交互项为 5.0。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。✅</w:t>
      </w:r>
    </w:p>
    <w:p w14:paraId="6A99B493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摘要中：</w:t>
      </w:r>
    </w:p>
    <w:p w14:paraId="4374B58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"The choice of size-and-surface standard accounts for 31.1% of variance, statistically indistinguishable from mean-stress correction (30.9%)."</w:t>
      </w:r>
    </w:p>
    <w:p w14:paraId="1D8B5527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表 1 中为 31.1 和 30.9。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。✅</w:t>
      </w:r>
    </w:p>
    <w:p w14:paraId="5F231D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4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E67BFD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8. 关于 Waterloo SMDIdbase 数据的引用</w:t>
      </w:r>
    </w:p>
    <w:p w14:paraId="05BC792C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作者引用了 Waterloo FDE 的网页链接。建议增加迭代报告的具体引用信息，例如报告编号、作者、年份。目前网页链接是稳定的，但如果网站改版，链接可能失效。建议补充完整的文献元数据：</w:t>
      </w:r>
    </w:p>
    <w:p w14:paraId="31FB652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University of Waterloo, Fatigue Data Exchange. SMDIdbase Report #66: AISI 4140 Steel, Q&amp;T, 300 HB, Strain-Life Data. [online] Available at: URL [Accessed: 2026-07-22].</w:t>
      </w:r>
    </w:p>
    <w:p w14:paraId="1C694A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pict>
          <v:rect id="_x0000_i1041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5428DA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9. 建议添加一个“核心公式汇总”表格</w:t>
      </w:r>
    </w:p>
    <w:p w14:paraId="79D9ED84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当前版本将公式分散在 Switch 4 的各条目中。建议在 Methods 末尾添加一个小型汇总表，列出三个标准的关键公式及其有效范围：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7"/>
        <w:gridCol w:w="2863"/>
        <w:gridCol w:w="4993"/>
        <w:gridCol w:w="1483"/>
      </w:tblGrid>
      <w:tr w14:paraId="04FBB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53D3E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标准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425F3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尺寸因子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510A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表面因子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8EAB8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有效范围</w:t>
            </w:r>
          </w:p>
        </w:tc>
      </w:tr>
      <w:tr w14:paraId="14987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F472E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ISO 6336-3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6B68C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YX=1.0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Y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14"/>
                <w:szCs w:val="14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1"/>
                <w:szCs w:val="1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=1.0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71C0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YR rel T=1.674−0.529(Rz+1)0.1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Y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14"/>
                <w:szCs w:val="14"/>
                <w:lang w:val="en-US" w:eastAsia="zh-CN" w:bidi="ar"/>
              </w:rPr>
              <w:t>R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14"/>
                <w:szCs w:val="14"/>
                <w:lang w:val="en-US" w:eastAsia="zh-CN" w:bidi="ar"/>
              </w:rPr>
              <w:t>rel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14"/>
                <w:szCs w:val="14"/>
                <w:lang w:val="en-US" w:eastAsia="zh-CN" w:bidi="ar"/>
              </w:rPr>
              <w:t>T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1"/>
                <w:szCs w:val="1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=1.674−0.529(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R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14"/>
                <w:szCs w:val="14"/>
                <w:lang w:val="en-US" w:eastAsia="zh-CN" w:bidi="ar"/>
              </w:rPr>
              <w:t>z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1"/>
                <w:szCs w:val="1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+1)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0.1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956E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0.5≤Rz≤400.5≤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R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14"/>
                <w:szCs w:val="14"/>
                <w:lang w:val="en-US" w:eastAsia="zh-CN" w:bidi="ar"/>
              </w:rPr>
              <w:t>z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1"/>
                <w:szCs w:val="1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≤40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μm</w:t>
            </w:r>
          </w:p>
        </w:tc>
      </w:tr>
      <w:tr w14:paraId="5E8F8C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C91B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AGMA 2001-D04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9EE5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Ks=1.0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K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14"/>
                <w:szCs w:val="14"/>
                <w:lang w:val="en-US" w:eastAsia="zh-CN" w:bidi="ar"/>
              </w:rPr>
              <w:t>s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1"/>
                <w:szCs w:val="1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=1.0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FECB5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Cf=1−0.0058ln⁡(Rf)ln⁡(Sut)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C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14"/>
                <w:szCs w:val="14"/>
                <w:lang w:val="en-US" w:eastAsia="zh-CN" w:bidi="ar"/>
              </w:rPr>
              <w:t>f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1"/>
                <w:szCs w:val="1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=1−0.0058ln(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R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14"/>
                <w:szCs w:val="14"/>
                <w:lang w:val="en-US" w:eastAsia="zh-CN" w:bidi="ar"/>
              </w:rPr>
              <w:t>f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1"/>
                <w:szCs w:val="1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)ln(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S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14"/>
                <w:szCs w:val="14"/>
                <w:lang w:val="en-US" w:eastAsia="zh-CN" w:bidi="ar"/>
              </w:rPr>
              <w:t>ut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1"/>
                <w:szCs w:val="1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64869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Ra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R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14"/>
                <w:szCs w:val="14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1"/>
                <w:szCs w:val="1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连续</w:t>
            </w:r>
          </w:p>
        </w:tc>
      </w:tr>
      <w:tr w14:paraId="1C237D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C5BB5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FKM 7th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C4E5D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Kd=1−0.05log⁡10(mn⋅10)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K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14"/>
                <w:szCs w:val="14"/>
                <w:lang w:val="en-US" w:eastAsia="zh-CN" w:bidi="ar"/>
              </w:rPr>
              <w:t>d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1"/>
                <w:szCs w:val="1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=1−0.05log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10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1"/>
                <w:szCs w:val="1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(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m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14"/>
                <w:szCs w:val="14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1"/>
                <w:szCs w:val="1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⋅10)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57349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KFσ=max⁡(1−0.22log⁡10(Rz)log⁡10(2Rm/400),0.55)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K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14"/>
                <w:szCs w:val="14"/>
                <w:lang w:val="en-US" w:eastAsia="zh-CN" w:bidi="ar"/>
              </w:rPr>
              <w:t>Fσ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1"/>
                <w:szCs w:val="1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=max(1−0.22log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10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1"/>
                <w:szCs w:val="1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(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R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14"/>
                <w:szCs w:val="14"/>
                <w:lang w:val="en-US" w:eastAsia="zh-CN" w:bidi="ar"/>
              </w:rPr>
              <w:t>z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1"/>
                <w:szCs w:val="1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)log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10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1"/>
                <w:szCs w:val="1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(2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R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14"/>
                <w:szCs w:val="14"/>
                <w:lang w:val="en-US" w:eastAsia="zh-CN" w:bidi="ar"/>
              </w:rPr>
              <w:t>m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1"/>
                <w:szCs w:val="1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/400),0.55)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63BE6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Rz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R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14"/>
                <w:szCs w:val="14"/>
                <w:lang w:val="en-US" w:eastAsia="zh-CN" w:bidi="ar"/>
              </w:rPr>
              <w:t>z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1"/>
                <w:szCs w:val="1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连续，clamped at 0.55</w:t>
            </w:r>
          </w:p>
        </w:tc>
      </w:tr>
    </w:tbl>
    <w:p w14:paraId="1384C820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这将大幅提升论文作为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方法论参考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的价值。</w:t>
      </w:r>
    </w:p>
    <w:p w14:paraId="725391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42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62229B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10. 轻微的语言问题</w:t>
      </w:r>
    </w:p>
    <w:p w14:paraId="2F58730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3A64F6D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摘要中 "statistically indistinguishable" 出现了两次，建议在第二次使用时换为 "not significantly different" 以避免重复。</w:t>
      </w:r>
    </w:p>
    <w:p w14:paraId="2AE2AAF3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24EF334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 4.2 节 "The result contradicts the common assumption..." 语气较为强烈。建议改为 "The result challenges the common assumption..."，更符合学术修辞。</w:t>
      </w:r>
    </w:p>
    <w:p w14:paraId="3311F4B3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786090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pict>
          <v:rect id="_x0000_i1043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82C71B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三、最终推荐</w:t>
      </w:r>
    </w:p>
    <w:p w14:paraId="0CCABDFE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小修后接收 (Minor Revision)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019CC158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v2.4 已经是一部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方法严谨、逻辑清晰、结论有力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的论文。主要的技术问题（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Kf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K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双重计入、ISO 公式外推、AGMA 公式修正、图-文不一致）均已解决。当前剩余问题均为澄清性/补充性的小修，不涉及核心结论的改变。</w:t>
      </w:r>
    </w:p>
    <w:p w14:paraId="2140D245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这是本刊近年来收到的关于齿轮疲劳不确定性量化领域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最有原创性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的稿件之一。如果作者能在最终版本中完成上述建议修改，我将推荐直接接收。</w:t>
      </w:r>
    </w:p>
    <w:p w14:paraId="386CF1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44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D48FFE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修改清单（供作者快速参考）</w:t>
      </w:r>
    </w:p>
    <w:tbl>
      <w:tblPr>
        <w:tblW w:w="1128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2"/>
        <w:gridCol w:w="1451"/>
        <w:gridCol w:w="8758"/>
      </w:tblGrid>
      <w:tr w14:paraId="44D31F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A92B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1455E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222D4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616F30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C8EEB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638ED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必须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9FE9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ISO 6336 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YR rel T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Y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14"/>
                <w:szCs w:val="14"/>
                <w:lang w:val="en-US" w:eastAsia="zh-CN" w:bidi="ar"/>
              </w:rPr>
              <w:t>R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14"/>
                <w:szCs w:val="14"/>
                <w:lang w:val="en-US" w:eastAsia="zh-CN" w:bidi="ar"/>
              </w:rPr>
              <w:t>rel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14"/>
                <w:szCs w:val="14"/>
                <w:lang w:val="en-US" w:eastAsia="zh-CN" w:bidi="ar"/>
              </w:rPr>
              <w:t>T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1"/>
                <w:szCs w:val="1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明确标注适用于调质钢齿根</w:t>
            </w:r>
          </w:p>
        </w:tc>
      </w:tr>
      <w:tr w14:paraId="64DD2C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9B54C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B0C07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必须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E7F5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FKM 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Kd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K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14"/>
                <w:szCs w:val="14"/>
                <w:lang w:val="en-US" w:eastAsia="zh-CN" w:bidi="ar"/>
              </w:rPr>
              <w:t>d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1"/>
                <w:szCs w:val="1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公式的来源说明（标准原文 or 作者近似）</w:t>
            </w:r>
          </w:p>
        </w:tc>
      </w:tr>
      <w:tr w14:paraId="48C022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99F68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89E3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建议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3EB4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ANOVA 表中补充 MSE 值</w:t>
            </w:r>
          </w:p>
        </w:tc>
      </w:tr>
      <w:tr w14:paraId="21017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193A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44685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建议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6D50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图 3 标注三个标准的 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Rz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R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14"/>
                <w:szCs w:val="14"/>
                <w:lang w:val="en-US" w:eastAsia="zh-CN" w:bidi="ar"/>
              </w:rPr>
              <w:t>z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1"/>
                <w:szCs w:val="1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敏感度特征</w:t>
            </w:r>
          </w:p>
        </w:tc>
      </w:tr>
      <w:tr w14:paraId="7827B7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8F7B4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C0A2B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建议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07539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Kf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K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14"/>
                <w:szCs w:val="14"/>
                <w:lang w:val="en-US" w:eastAsia="zh-CN" w:bidi="ar"/>
              </w:rPr>
              <w:t>f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1"/>
                <w:szCs w:val="1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讨论精简</w:t>
            </w:r>
          </w:p>
        </w:tc>
      </w:tr>
      <w:tr w14:paraId="138BA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95177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8A413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建议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32DC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Waterloo 数据补充完整文献信息</w:t>
            </w:r>
          </w:p>
        </w:tc>
      </w:tr>
      <w:tr w14:paraId="255B4C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7DD5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32869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建议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83FEE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添加核心公式汇总表</w:t>
            </w:r>
          </w:p>
        </w:tc>
      </w:tr>
      <w:tr w14:paraId="4CADF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32435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6A471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建议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BC4E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语言微调（"contradicts" → "challenges"）</w:t>
            </w:r>
          </w:p>
        </w:tc>
      </w:tr>
    </w:tbl>
    <w:p w14:paraId="44FE2680">
      <w:pPr>
        <w:rPr>
          <w:rFonts w:hint="default"/>
          <w:lang w:val="en-US" w:eastAsia="zh-CN"/>
        </w:rPr>
      </w:pPr>
    </w:p>
    <w:p w14:paraId="7099418A">
      <w:pPr>
        <w:rPr>
          <w:rFonts w:hint="default"/>
          <w:lang w:val="en-US" w:eastAsia="zh-CN"/>
        </w:rPr>
      </w:pPr>
    </w:p>
    <w:p w14:paraId="75A55306">
      <w:pPr>
        <w:rPr>
          <w:rFonts w:hint="default"/>
          <w:lang w:val="en-US" w:eastAsia="zh-CN"/>
        </w:rPr>
      </w:pPr>
    </w:p>
    <w:p w14:paraId="7D93395C">
      <w:pPr>
        <w:rPr>
          <w:rFonts w:hint="default"/>
          <w:lang w:val="en-US" w:eastAsia="zh-CN"/>
        </w:rPr>
      </w:pPr>
    </w:p>
    <w:p w14:paraId="0E4F778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International Journal of Fatigue 二审审稿意见（v2.4 对比 v2.0，整体大幅优化，但仍存致命硬伤）</w:t>
      </w:r>
    </w:p>
    <w:p w14:paraId="16DA49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总览：相比 v1.0、v2.0，v2.4 完成了多处关键逻辑缺陷修复，建模严谨度、自洽性、透明度显著提升，</w:t>
      </w:r>
      <w:r>
        <w:rPr>
          <w:rStyle w:val="9"/>
          <w:b/>
          <w:color w:val="1F2329"/>
          <w:sz w:val="24"/>
          <w:szCs w:val="24"/>
          <w:bdr w:val="none" w:color="auto" w:sz="0" w:space="0"/>
        </w:rPr>
        <w:t>解决了前两版大半核心质疑</w:t>
      </w:r>
      <w:r>
        <w:rPr>
          <w:color w:val="1F2329"/>
          <w:sz w:val="24"/>
          <w:szCs w:val="24"/>
          <w:bdr w:val="none" w:color="auto" w:sz="0" w:space="0"/>
        </w:rPr>
        <w:t>；但仍存在</w:t>
      </w:r>
      <w:r>
        <w:rPr>
          <w:rStyle w:val="9"/>
          <w:b/>
          <w:color w:val="1F2329"/>
          <w:sz w:val="24"/>
          <w:szCs w:val="24"/>
          <w:bdr w:val="none" w:color="auto" w:sz="0" w:space="0"/>
        </w:rPr>
        <w:t>统计方法缺陷、极端工况人为放大均值应力效应、缺失试验验证、模型假设脱离工业通用流程、过度外推</w:t>
      </w:r>
      <w:r>
        <w:rPr>
          <w:color w:val="1F2329"/>
          <w:sz w:val="24"/>
          <w:szCs w:val="24"/>
          <w:bdr w:val="none" w:color="auto" w:sz="0" w:space="0"/>
        </w:rPr>
        <w:t>五大类无法忽略的问题，依旧达不到录用标准，仍需大修。</w:t>
      </w:r>
    </w:p>
    <w:p w14:paraId="308644C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一、v2.4 对比 v2.0 的实质性改进（审稿人认可优化点）</w:t>
      </w:r>
    </w:p>
    <w:p w14:paraId="36DCB3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1. 彻底解决应力集中\(K_f\)双重计数矛盾，建模逻辑自洽</w:t>
      </w:r>
    </w:p>
    <w:p w14:paraId="5F50D1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v1/v2.0 最大逻辑漏洞：同时叠加\(Y_{Sa}\)（ISO 齿根应力放大）与 Peterson/Neuber\(K_f\)，双重放大缺口应力，人为拉高均值应力占比； v2.4 核心优化： 1）明确说明\(Y_{Sa}\)已包含齿根几何应力集中，</w:t>
      </w:r>
      <w:r>
        <w:rPr>
          <w:rStyle w:val="9"/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直接删除独立\(K_f\)因子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，从根源消除重复计算； 2）清晰区分 “几何应力放大” 与材料缺口敏感性，说明后续若补充\(K_f\)必须剥离\(Y_{Sa}\)，逻辑闭环； 3）减少 6 因子至 5 因子，试验设计简化，消除\(K_f\)微弱效应带来的无效解读。</w:t>
      </w:r>
    </w:p>
    <w:p w14:paraId="0C71E5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2. S-N 数据源可信度大幅提升，剔除人为拟合偏差</w:t>
      </w:r>
    </w:p>
    <w:p w14:paraId="67BABD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1）抛弃 MatWeb/MMPDS 商业数据库，改用</w:t>
      </w:r>
      <w:r>
        <w:rPr>
          <w:rStyle w:val="9"/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公开可下载、带原始试验记录的 Waterloo SMDIdbase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两组 42CrMo4 数据，全部参数来自同热处理调质试样，不再混杂不同试样 / 工艺带来的额外误差； 2）解释两组数据差异是实验室批次固有离散，而非作者人为构造，S-N 曲线方差占比降至仅 0.7%，客观证明其影响微弱，消除 “刻意放大 S-N 分歧” 的质疑。</w:t>
      </w:r>
    </w:p>
    <w:p w14:paraId="4A6F9F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3. 载荷与标准公式严格对标，人为自定义简化大幅减少</w:t>
      </w:r>
    </w:p>
    <w:p w14:paraId="09FB35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1）ISO 粗糙度系数\(Y_{RrelT}\)严格遵循标准有效区间\(R_z≤40\mathrm{\mu m}\)，\(R_z=50\mathrm{\mu m}\)直接按标准上限截断，不再外推幂律公式； 2）FKM 表面系数强制下限 0.55、尺寸因子严格套用 7 版原文公式；AGMA 尺寸系数\(K_s=1\)判定依据（径节≥5）完整标注； 3）全部载荷修正系数\(K_A,K_V,K_{F\beta}\)等统一置 1，并专门解释：该简化仅用于</w:t>
      </w:r>
      <w:r>
        <w:rPr>
          <w:rStyle w:val="9"/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对比方法相对差异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，不会改变因子排序，限定假设适用边界； 4）扭矩由 350N・m 上调至 700N・m，\(\sigma_{F0}\)升至 778MPa，\(\sigma_m/\sigma_{uts}=0.39\)，定量解释均值应力模型分化的应力基础，数学推导更扎实。</w:t>
      </w:r>
    </w:p>
    <w:p w14:paraId="531770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4. 统计设计与解读更保守，规避循环论证</w:t>
      </w:r>
    </w:p>
    <w:p w14:paraId="33FAF0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1）样本组合精简至 144 组，明确 28 组 Run-out（19.4%）直接剔除，主动点明缺陷：未采用截尾生存分析，会抬高残差（23.3%），不回避数据截断带来的统计偏差； 2）严格以\(S/N&lt;3\)作为无显著效应阈值：S-N 源、损伤规则\(S/N=1\)，p&gt;0.05，直接判定无统计显著性，不再过度解读微小方差； 3）清晰区分「对数尺度方差占比」与工程线性寿命偏差，图表、结果同时标注 bootstrap 置信区间重叠：标准、均值应力二者无主次之分，不再强行定义第一主导因素； 4）交互项\(Standard×Rz=5.0\%\)单独拆解，解释粗糙度越粗糙，标准间分歧越大，物理意义清晰。</w:t>
      </w:r>
    </w:p>
    <w:p w14:paraId="6BFA4E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5. 结论边界进一步收紧，删除大量过度声称</w:t>
      </w:r>
    </w:p>
    <w:p w14:paraId="3ECCB4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1）全文反复强调三大限定：仅调质 42CrMo4、无残余压应力、单一 700N・m 恒定 R=0 弯曲载荷； 2）明确区分 “数值仿真方法分歧”≠“真实齿轮疲劳预测误差”，不评判哪种标准 / 模型物理精度更高； 3）主动说明渗碳 / 喷丸齿轮存在残余压应力，会降低均值应力修正的方差贡献，弱化结论普适性； 4）弱化 “统一行业标准” 的强建议，仅客观量化不同手册带来的计算差距，不强制标准修订； 5）极值寿命差（330~3.1×10⁷ cycles，5 个数量级）明确标注为</w:t>
      </w:r>
      <w:r>
        <w:rPr>
          <w:rStyle w:val="9"/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边界极端组合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，非常规工程选型。</w:t>
      </w:r>
    </w:p>
    <w:p w14:paraId="34665C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6. 学术规范优化</w:t>
      </w:r>
    </w:p>
    <w:p w14:paraId="6F4370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1）删除大量未发表自引，仅保留 1 篇跨领域方差分解文献； 2）所有标准条款、数据库链接完整溯源，开源代码全流程可复现； 3）局限性扩充完善，逐条列明：无 FEA 缺口敏感性、无残余应力、无变幅载荷、无试验验证、单齿轮单扭矩、AGMA\(R_z/R_a\)换算近似。</w:t>
      </w:r>
    </w:p>
    <w:p w14:paraId="50C515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二、v2.4 仍存在的核心缺陷（IJ Fatigue 审稿重大扣分点，必须大修）</w:t>
      </w:r>
    </w:p>
    <w:p w14:paraId="22298A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（一）建模固有偏差：AGMA 粗糙度换算仍混杂人为误差，无法剥离</w:t>
      </w:r>
    </w:p>
    <w:p w14:paraId="537A9E3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AGMA 标准强制使用\(R_a\)（微英寸），作者采用经验换算\(R_a≈R_z/6\)，该换算随加工工艺波动，无统一标准；</w:t>
      </w:r>
    </w:p>
    <w:p w14:paraId="1659F0D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关键问题：</w:t>
      </w:r>
      <w:r>
        <w:rPr>
          <w:rStyle w:val="9"/>
          <w:color w:val="1F2329"/>
          <w:sz w:val="24"/>
          <w:szCs w:val="24"/>
          <w:bdr w:val="none" w:color="auto" w:sz="0" w:space="0"/>
        </w:rPr>
        <w:t>未量化该换算引入的方差占比</w:t>
      </w:r>
      <w:r>
        <w:rPr>
          <w:color w:val="1F2329"/>
          <w:sz w:val="24"/>
          <w:szCs w:val="24"/>
          <w:bdr w:val="none" w:color="auto" w:sz="0" w:space="0"/>
        </w:rPr>
        <w:t>，将换算误差全部计入「标准 ×Rz 交互项（5.0%）」，人为放大 ISO/AGMA/FKM 三者原生差异；</w:t>
      </w:r>
    </w:p>
    <w:p w14:paraId="7D4409C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矛盾：全文声称所有公式严格对标原版标准，但该换算属于作者自定义附加步骤，不属于标准原文，定量分解结果不纯。</w:t>
      </w:r>
    </w:p>
    <w:p w14:paraId="054BEB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（二）工况极端化，刻意放大均值应力效应，结论通用性严重受限</w:t>
      </w:r>
    </w:p>
    <w:p w14:paraId="7E3E8CD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700N・m 扭矩下齿根应力\(\sigma_{F0}=778\mathrm{MPa}\)，接近 42CrMo4 抗拉强度 1000MPa，属于</w:t>
      </w:r>
      <w:r>
        <w:rPr>
          <w:rStyle w:val="9"/>
          <w:color w:val="1F2329"/>
          <w:sz w:val="24"/>
          <w:szCs w:val="24"/>
          <w:bdr w:val="none" w:color="auto" w:sz="0" w:space="0"/>
        </w:rPr>
        <w:t>重载极限工况</w:t>
      </w:r>
      <w:r>
        <w:rPr>
          <w:color w:val="1F2329"/>
          <w:sz w:val="24"/>
          <w:szCs w:val="24"/>
          <w:bdr w:val="none" w:color="auto" w:sz="0" w:space="0"/>
        </w:rPr>
        <w:t>，常规工业齿轮设计应力普遍 400–600MPa，远低于该水平；</w:t>
      </w:r>
    </w:p>
    <w:p w14:paraId="7F19DCD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在常规中等载荷下，\(\sigma_m/\sigma_{uts}\)会显著降低，四种均值应力模型的等效应力差值会大幅缩小，30.9% 的方差占比会明显下降；本文仅单一极端高应力工况，无法证明 “均值应力修正是第二大误差源” 具备普适性；</w:t>
      </w:r>
    </w:p>
    <w:p w14:paraId="53DD39D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未补充中等扭矩对照组仿真，无法验证载荷水平对因子排序的影响，结论仅适用于过载调质齿轮，不具备行业通用参考价值。</w:t>
      </w:r>
    </w:p>
    <w:p w14:paraId="686698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（三）统计方法硬缺陷，不符合疲劳期刊通用规范</w:t>
      </w:r>
    </w:p>
    <w:p w14:paraId="1046A5A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Run-out 无限寿命样本直接丢弃，未采用疲劳领域标准</w:t>
      </w:r>
      <w:r>
        <w:rPr>
          <w:rStyle w:val="9"/>
          <w:color w:val="1F2329"/>
          <w:sz w:val="24"/>
          <w:szCs w:val="24"/>
          <w:bdr w:val="none" w:color="auto" w:sz="0" w:space="0"/>
        </w:rPr>
        <w:t>截尾对数正态 ANOVA / 生存方差分解</w:t>
      </w:r>
      <w:r>
        <w:rPr>
          <w:color w:val="1F2329"/>
          <w:sz w:val="24"/>
          <w:szCs w:val="24"/>
          <w:bdr w:val="none" w:color="auto" w:sz="0" w:space="0"/>
        </w:rPr>
        <w:t>；28 组截断数据直接剔除导致方差结构失真，残差高达 23.3%，大幅降低分解结果可信度；</w:t>
      </w:r>
    </w:p>
    <w:p w14:paraId="7E99246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Bootstrap 仅 100 次重采样，对于 S/N&lt;3 的次要因子（粗糙度、交互项）置信区间极宽，噪声过大；行业通用最低标准为 1000 次重采样；</w:t>
      </w:r>
    </w:p>
    <w:p w14:paraId="18F2EBA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全程基于\(log_{10}(N_f)\)对数方差分解，未换算为线性寿命尺度量化效应幅度，读者极易误判各因子真实工程影响程度，统计解读不完整。</w:t>
      </w:r>
    </w:p>
    <w:p w14:paraId="02EAFE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（四）均值应力模型匹配逻辑缺失，夸大方法分歧</w:t>
      </w:r>
    </w:p>
    <w:p w14:paraId="36E818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42CrMo4 调质钢为延性金属，经典疲劳理论：Gerber/Morrow 适配延性材料，Goodman 为脆性材料专用，工程齿轮设计极少使用 Goodman； 本文无差别并行四套模型，将 “选用不适配保守模型带来的人为极端偏差” 等同于客观方法学分歧，5 个数量级寿命差大量来自不切实际的工程组合，未单独给出</w:t>
      </w:r>
      <w:r>
        <w:rPr>
          <w:rStyle w:val="9"/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常规工程师选型区间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的寿命波动范围，夸大真实设计分歧。</w:t>
      </w:r>
    </w:p>
    <w:p w14:paraId="1A0225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（五）缺失物理试验验证（IJ Fatigue 硬性录用门槛，无替代方案）</w:t>
      </w:r>
    </w:p>
    <w:p w14:paraId="1851C72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全文纯数值仿真，无齿轮脉动弯曲台架疲劳试验、无齿根裂纹萌生微观观测；仅依靠公式推演得出结论，无法证明 “不同标准 / 均值模型带来的寿命分歧真实存在于物理测试”；</w:t>
      </w:r>
    </w:p>
    <w:p w14:paraId="459AC64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期刊对 Full-length Article 要求必须配套试验对标；本文仅数值数值试验，仅符合 Short Communication 短篇简报定位，深度不足以长文刊发；</w:t>
      </w:r>
    </w:p>
    <w:p w14:paraId="208B98C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无试验数据支撑，无法区分 “方法内生数值偏差” 和 “与真实疲劳寿命的预测精度偏差”，研究仅完成不确定性量化第一步，缺少最关键的物理验证环节。</w:t>
      </w:r>
    </w:p>
    <w:p w14:paraId="55E904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（六）工业关键变量完全缺失，模型脱离真实齿轮设计流程</w:t>
      </w:r>
    </w:p>
    <w:p w14:paraId="6D530ED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完全忽略残余压应力（喷丸、渗碳、感应淬火）：仅文字提及会削弱均值应力效应，但未补充一组带残余应力的对比仿真，无法直观展示主流硬化齿轮（汽车 / 风电核心产品）下因子排序会完全改变；</w:t>
      </w:r>
    </w:p>
    <w:p w14:paraId="5FB95AE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全部载荷修正系数\(K_A、K_V、K_{F\beta}\)置 1，仅理想光滑工况；真实齿轮传动存在冲击、振动、偏载，这些系数会引入额外不确定性，且可能改变各方法因子相对占比；</w:t>
      </w:r>
    </w:p>
    <w:p w14:paraId="442DE64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仅单一模数、单一齿数的直齿轮，未拓展斜齿轮、大模数、变位齿轮，无法证明因子排序具备几何通用性。</w:t>
      </w:r>
    </w:p>
    <w:p w14:paraId="51FB12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（七）轻微过度外推问题</w:t>
      </w:r>
    </w:p>
    <w:p w14:paraId="5E19F2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正文、图表仍反复表述 “标准与均值应力修正是齿轮疲劳预测最大不确定性来源”，未前置醒目标注 “仅适用于本仿真封闭系统、无残余应力、极限重载调质直齿轮”，易误导读者将单一工况结论推广至全部齿轮设计场景。</w:t>
      </w:r>
    </w:p>
    <w:p w14:paraId="5B4DB3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三、最终审稿判定</w:t>
      </w:r>
    </w:p>
    <w:p w14:paraId="5A0E9A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Style w:val="9"/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Major Revision（大修，优化幅度可观，但核心硬伤未解决，无法小修 / 录用）</w:t>
      </w:r>
    </w:p>
    <w:p w14:paraId="26A306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强制修改清单（缺一不可）</w:t>
      </w:r>
    </w:p>
    <w:p w14:paraId="16F4E63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</w:p>
    <w:p w14:paraId="2F220E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Style w:val="9"/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修正统计方法</w:t>
      </w:r>
    </w:p>
    <w:p w14:paraId="7147646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</w:p>
    <w:p w14:paraId="0A4F7104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采用截尾生存 ANOVA 处理 28 组 Run-out 数据，禁止直接剔除无限寿命样本；</w:t>
      </w:r>
    </w:p>
    <w:p w14:paraId="2B1D7C8A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Bootstrap 重采样提升至≥1000 次；补充线性寿命尺度方差量化，区分对数方差与工程真实寿命偏差；</w:t>
      </w:r>
    </w:p>
    <w:p w14:paraId="104C2F93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对\(S/N&lt;3\)的因子仅简要提及，不单独定量绘图解读。</w:t>
      </w:r>
    </w:p>
    <w:p w14:paraId="0695BA3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</w:p>
    <w:p w14:paraId="0728B5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Style w:val="9"/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消除 AGMA 换算混杂误差</w:t>
      </w:r>
    </w:p>
    <w:p w14:paraId="5CF5EAB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</w:p>
    <w:p w14:paraId="1CAB6EC7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统一全部标准粗糙度输入为\(R_a\)，移除\(R_z→R_a\)自定义换算；或单独量化换算引入的方差，从交互项中剥离，保证分解结果仅反映标准原生差异。</w:t>
      </w:r>
    </w:p>
    <w:p w14:paraId="711DDA6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</w:p>
    <w:p w14:paraId="6F424A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Style w:val="9"/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补充多载荷梯度仿真，收敛结论适用边界</w:t>
      </w:r>
    </w:p>
    <w:p w14:paraId="0F96EDE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</w:p>
    <w:p w14:paraId="263B3A97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新增 350N・m、500N・m 两组常规工业扭矩仿真，对比不同应力水平下均值应力修正的方差占比变化；</w:t>
      </w:r>
    </w:p>
    <w:p w14:paraId="694B7892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补充一组带 - 400MPa 残余压应力的工况，展示硬化齿轮下因子排序变化；</w:t>
      </w:r>
    </w:p>
    <w:p w14:paraId="6986AFB3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区分 “极端边界组合寿命差” 与 “工程常规选型寿命差”，正文分别标注两组波动区间。</w:t>
      </w:r>
    </w:p>
    <w:p w14:paraId="41488D2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</w:p>
    <w:p w14:paraId="1B2804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Style w:val="9"/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约束均值应力模型工程适用范围</w:t>
      </w:r>
    </w:p>
    <w:p w14:paraId="5829DC3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</w:p>
    <w:p w14:paraId="1F671942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依据材料塑性划分模型适用场景，单独给出调质钢工程师常规选用组合（Gerber/Morrow 为主）的寿命波动，剔除 Goodman 这类极少使用的极端保守组合，避免夸大分歧。</w:t>
      </w:r>
    </w:p>
    <w:p w14:paraId="1C94F77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</w:p>
    <w:p w14:paraId="580A07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Style w:val="9"/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补齐试验验证（IJ Fatigue 硬性要求）</w:t>
      </w:r>
    </w:p>
    <w:p w14:paraId="2BFBA6E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</w:p>
    <w:p w14:paraId="5D99B180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加工 42CrMo4 不同粗糙度齿轮，开展脉动弯曲台架疲劳试验，分别采用 ISO/AGMA/FKM 三套标准计算寿命，对标数值仿真结果；</w:t>
      </w:r>
    </w:p>
    <w:p w14:paraId="65CAF89A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补充齿根裂纹萌生观测，从疲劳损伤机理解释均值应力模型差异的物理根源。</w:t>
      </w:r>
    </w:p>
    <w:p w14:paraId="461EB1C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</w:p>
    <w:p w14:paraId="1A0D55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Style w:val="9"/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完善建模假设，弱化过度外推表述</w:t>
      </w:r>
    </w:p>
    <w:p w14:paraId="3ECAA90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</w:p>
    <w:p w14:paraId="2B265266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所有图表、摘要、结论前置醒目限定条件，明确说明结论仅适用于无强化、极限重载、m=3mm、z=20 调质直齿轮；</w:t>
      </w:r>
    </w:p>
    <w:p w14:paraId="2AA47EA2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正文弱化普适性表述，删除 “齿轮设计最大不确定性来源” 等绝对化描述，改为 “在本文特定仿真工况下，XX 为主要方法分歧来源”。</w:t>
      </w:r>
    </w:p>
    <w:p w14:paraId="5A08F209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31061F"/>
    <w:multiLevelType w:val="multilevel"/>
    <w:tmpl w:val="8C3106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FD94C56"/>
    <w:multiLevelType w:val="multilevel"/>
    <w:tmpl w:val="CFD94C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2B1F524"/>
    <w:multiLevelType w:val="multilevel"/>
    <w:tmpl w:val="D2B1F5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2897600C"/>
    <w:multiLevelType w:val="multilevel"/>
    <w:tmpl w:val="2897600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37344E6D"/>
    <w:multiLevelType w:val="multilevel"/>
    <w:tmpl w:val="37344E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4DFA256D"/>
    <w:multiLevelType w:val="multilevel"/>
    <w:tmpl w:val="4DFA25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C99BE82"/>
    <w:multiLevelType w:val="multilevel"/>
    <w:tmpl w:val="6C99BE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6D02A2C0"/>
    <w:multiLevelType w:val="multilevel"/>
    <w:tmpl w:val="6D02A2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779F199A"/>
    <w:multiLevelType w:val="multilevel"/>
    <w:tmpl w:val="779F199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6"/>
  </w:num>
  <w:num w:numId="6">
    <w:abstractNumId w:val="8"/>
  </w:num>
  <w:num w:numId="7">
    <w:abstractNumId w:val="4"/>
  </w:num>
  <w:num w:numId="8">
    <w:abstractNumId w:val="3"/>
  </w:num>
  <w:num w:numId="9">
    <w:abstractNumId w:val="7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5530AF"/>
    <w:rsid w:val="575530AF"/>
    <w:rsid w:val="58297231"/>
    <w:rsid w:val="7D0A4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435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2026-07-22T07:43:00Z</dcterms:created>
  <dc:creator>陈智磊</dc:creator>
  <cp:lastModifiedBy>陈智磊</cp:lastModifiedBy>
  <dcterms:modified xsi:type="dcterms:W3CDTF">2026-07-22T16:02:38Z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2CD3E9ED3575446D99D0E065A64B03CD_13</vt:lpwstr>
  </property>
  <property fmtid="{D5CDD505-2E9C-101B-9397-08002B2CF9AE}" pid="4" name="KSOTemplateDocerSaveRecord">
    <vt:lpwstr>eyJoZGlkIjoiM2QxMzQ1NmNiYWQ2ZWEyN2EzYjg0OTM4M2FmNjM4MDEiLCJ1c2VySWQiOiIxNzQ0NDIwODU5In0=</vt:lpwstr>
  </property>
</Properties>
</file>