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81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二、仅部分缓解（文字补充说明，但底层建模缺陷未根除）</w:t>
      </w:r>
    </w:p>
    <w:p w14:paraId="00F37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这类问题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矛盾根源是仿真架构 / 试验设计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，作者只加免责文字，不修改计算流程，缺陷依然存在：</w:t>
      </w:r>
    </w:p>
    <w:p w14:paraId="35091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统一\(Y_{Sa}\)人为不对称建模缺陷（核心对比硬伤）</w:t>
      </w:r>
    </w:p>
    <w:p w14:paraId="4FBF0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缓解操作：新增原生应力链敏感性、\(Y_{Sa}\)全域扰动曲线，给出方差浮动区间 [-27.7,+17.8pp]，反复强调 55.3% 是下界、Phase2 会重做无统一基线完整标准仿真； 未根除：研究核心目标是对比 ISO/AGMA/FKM 三套完整标准，但人为替换 AGMA/FKM 原生应力集中模块，计算流程本身失真，55.3% 永远不是三套标准完整分歧值，定量工程结论天然存在系统性低估。</w:t>
      </w:r>
    </w:p>
    <w:p w14:paraId="3AAF24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FKM 标准采用 Peterson 简化近似</w:t>
      </w:r>
    </w:p>
    <w:p w14:paraId="060CA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缓解：全文多处加粗提示未执行 FKM 官方完整应力梯度查表流程，仅近似； 未根除：全文仍称执行 FKM 标准计算，对比三组标准的数值偏移（\(\Delta_{AGMA\to FKM}=1.63\mathrm{dex}\)）基于简化公式，跨标准差值存在固定系统偏差。</w:t>
      </w:r>
    </w:p>
    <w:p w14:paraId="7E1483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无实体试验却输出量化工程指导（拒稿级核心短板）</w:t>
      </w:r>
    </w:p>
    <w:p w14:paraId="6786D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缓解：全文所有风险分级、标准协调方案、设计案例前置超长免责声明，反复说明仅数值演示、不能直接用于齿轮规范；区分「通用统计框架」和「本齿轮专属定量数值」； 未根除：依然大量输出 AGMA-FKM 差值、风险分级、0.5dex 控制指标等工程定量数据，即便加免责，依然属于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无试验支撑的工程定量断言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，不符合 JM 机械疲劳类期刊基础实验验证规范。</w:t>
      </w:r>
    </w:p>
    <w:p w14:paraId="2DE7ED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试验设计自由度结构失衡（材料方差人为压低）</w:t>
      </w:r>
    </w:p>
    <w:p w14:paraId="26A6D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缓解：大幅扩充 5 条 S-N 曲线敏感性分析，明确双 S-N 曲线是相近材料导致 2.5% 低占比，披露 10:1 自由度失衡问题； 未根除：主实验设计仍只用 2 条高度近似 S-N 曲线，基线 55.3% 主导结论是设计结构带来的偏倚，主结果天然片面，仅靠文字说明无法消除数据结构性缺陷。</w:t>
      </w:r>
    </w:p>
    <w:p w14:paraId="059946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AFT 非信息删失假设无法严格验证</w:t>
      </w:r>
    </w:p>
    <w:p w14:paraId="2F173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缓解：多组 run-out 阈值敏感性测试，证明排名不受截断值影响；说明无法用现有数据检验假设； 未根除：run-out 由模型自身计算应力决定，删失机制与预测寿命内生相关，统计模型前提存在潜在偏倚，无混合模型验证，仅侧面仿真佐证不满足严谨统计要求。</w:t>
      </w:r>
    </w:p>
    <w:p w14:paraId="5A746C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三、完全未修正、保留的重大缺陷（v5.2 全部遗留，无实质改进）</w:t>
      </w:r>
    </w:p>
    <w:p w14:paraId="533AD4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残余应力完全忽略，无配套定量敏感性仿真</w:t>
      </w:r>
    </w:p>
    <w:p w14:paraId="7B449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全文仅定性描述锻 / 磨 / 渗碳齿轮残余应力的影响，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没有搭建含残余应力的仿真组、无方差占比定量变化数据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，18.2% 均值应力贡献仅理想无应力基准，无法外推量产齿轮，工业解读存在严重失真。</w:t>
      </w:r>
    </w:p>
    <w:p w14:paraId="764B8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仅单一组二阶交互（标准 ×\(R_z\)），其余交互全部舍弃</w:t>
      </w:r>
    </w:p>
    <w:p w14:paraId="47D6E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均值应力 × 标准、均值应力 × 粗糙度等高阶交互未纳入，仅文字说明偏差在置信区间，无补充交互全因子仿真，主效应占比存在不可控低估 / 高估，试验设计完整性不足。</w:t>
      </w:r>
    </w:p>
    <w:p w14:paraId="5FFA8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\(R_z/R_a=1/6\)固定换算简化无量化校正仿真</w:t>
      </w:r>
    </w:p>
    <w:p w14:paraId="7E6F9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仅定性说明不同加工表面比值区间，未遍历 4~20 区间完整重做方差分解，粗糙度 22.6% 数值存在固定系统误差，无误差量化边界。</w:t>
      </w:r>
    </w:p>
    <w:p w14:paraId="043AF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载荷变量覆盖极度狭窄</w:t>
      </w:r>
    </w:p>
    <w:p w14:paraId="3DBEE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仅测试\(K_A\)冲击系数，未同步分析\(K_V\)动载、\(K_{F\beta}\)齿向偏载；工业偏载、变转速工况完全缺失，因子优先级结论适用范围极窄。</w:t>
      </w:r>
    </w:p>
    <w:p w14:paraId="1D47E4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普适性表述仍存在混淆</w:t>
      </w:r>
    </w:p>
    <w:p w14:paraId="1F0B6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摘要、结论同时写「统计框架通用」「数值仅限本齿轮」，短句易造成读者误将 55.3% 等比例当作通用行业规律，仅靠文字区分，无醒目标注框隔离两类结论。</w:t>
      </w:r>
    </w:p>
    <w:p w14:paraId="0F0461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 几何单一，无多模数 / 多齿数敏感性</w:t>
      </w:r>
    </w:p>
    <w:p w14:paraId="43973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仅\(m_n=3,z_1=20\)单齿轮，未补充多几何仿真，文中基准方差排名仅适配该特定齿轮，未给出几何变化后的波动范围。</w:t>
      </w:r>
    </w:p>
    <w:p w14:paraId="4579A7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 变幅载荷仅两级简单块谱，无随机频谱 / 载荷序列损伤模型</w:t>
      </w:r>
    </w:p>
    <w:p w14:paraId="018B2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仅证明简单块谱下损伤规则占比不变，真实工业随机变幅、载荷交互损伤未建模，0.3% 占比不能代表变速箱真实变幅工况。</w:t>
      </w:r>
    </w:p>
    <w:p w14:paraId="2CEDAF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四、v5.4 新增细微行文不一致（新版本衍生小矛盾）</w:t>
      </w:r>
    </w:p>
    <w:p w14:paraId="5FD322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Phase2 规划表述不完整：仅提及渗碳、变幅、多 S-N 曲线，未明确补充多模数 / 多齿轮几何仿真计划，几何通用性短板无解决方案；</w:t>
      </w:r>
    </w:p>
    <w:p w14:paraId="2676AB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文献支撑薄弱：中文齿轮试验文献仅定性对比，无同尺度方法诱导散差定量对标，缺乏实验文献交叉印证；</w:t>
      </w:r>
    </w:p>
    <w:p w14:paraId="35ED4E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风险分级表、设计案例仍使用确定量化阈值，免责文字与定量数字存在逻辑冲突（一边说不能用，一边给出具体控制指标）。</w:t>
      </w:r>
    </w:p>
    <w:p w14:paraId="462FF2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综合审稿判定（JMST 录用视角）</w:t>
      </w:r>
    </w:p>
    <w:p w14:paraId="590431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改进亮点（仅表层文字 / 图表 / 补充仿真优化）</w:t>
      </w:r>
    </w:p>
    <w:p w14:paraId="7F7B1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作者把所有显性文字误导全部清除，所有核心数值强制标注适用边界，补齐多模型、多阈值、多 S-N 曲线敏感性附图，图文完全自洽，阅读误导性大幅降低。</w:t>
      </w:r>
    </w:p>
    <w:p w14:paraId="072EDE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仍需强制大修的核心硬伤（未完全修正，不解决无法录用）</w:t>
      </w:r>
    </w:p>
    <w:p w14:paraId="5E5698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无齿轮单齿弯曲实体疲劳试验，全部工程量化指标缺少物理验证；</w:t>
      </w:r>
    </w:p>
    <w:p w14:paraId="5B00B1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统一\(Y_{Sa}\)基线人为割裂 ISO/AGMA/FKM 原生计算链路，核心 55.3% 数值仅局部分量，不能代表三套标准完整分歧；</w:t>
      </w:r>
    </w:p>
    <w:p w14:paraId="101864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残余应力、多二阶交互、\(R_z/R_a\)换算、多载荷系数均缺少配套定量敏感性仿真，不确定性刻画不完整；</w:t>
      </w:r>
    </w:p>
    <w:p w14:paraId="2E12B1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AFT 非信息删失假设缺乏严格统计检验，统计框架严谨性不足。</w:t>
      </w:r>
    </w:p>
    <w:p w14:paraId="30821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小幅修改要求</w:t>
      </w:r>
    </w:p>
    <w:p w14:paraId="40973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统一「统计通用框架」与「本齿轮专属定量结果」两类措辞；全文所有工程设计表格增加醒目红色边界提示框；补充多齿轮几何初步敏感性仿真作为佐证；完善 FKM 完整规范对比仿真，消除简化近似带来的标准对比偏差。</w:t>
      </w:r>
    </w:p>
    <w:p w14:paraId="24303E50"/>
    <w:p w14:paraId="3DE81411"/>
    <w:p w14:paraId="7E433F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v5.4 论文完整分层修正方案（JMST 齿轮期刊大修标准，分「必须底层重构、大规模补充仿真、全文文字整改、图表规范、未来研究清晰界定」五大模块，区分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大修强制整改（不改拒稿）</w:t>
      </w:r>
      <w:r>
        <w:rPr>
          <w:color w:val="000000"/>
          <w:sz w:val="24"/>
          <w:szCs w:val="24"/>
          <w:bdr w:val="none" w:color="auto" w:sz="0" w:space="0"/>
        </w:rPr>
        <w:t xml:space="preserve"> 和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小幅润色优化</w:t>
      </w:r>
      <w:r>
        <w:rPr>
          <w:color w:val="000000"/>
          <w:sz w:val="24"/>
          <w:szCs w:val="24"/>
          <w:bdr w:val="none" w:color="auto" w:sz="0" w:space="0"/>
        </w:rPr>
        <w:t>）</w:t>
      </w:r>
    </w:p>
    <w:p w14:paraId="581E0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一、【拒稿级底层硬伤：必须重构仿真 / 试验体系，仅文字无效】</w:t>
      </w:r>
    </w:p>
    <w:p w14:paraId="4ED27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缺陷 1：无实体齿轮疲劳试验，全数值仿真却输出工程量化指标</w:t>
      </w:r>
    </w:p>
    <w:p w14:paraId="207CF1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修正操作</w:t>
      </w:r>
    </w:p>
    <w:p w14:paraId="21713E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1882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两条并行解决路径（二选一，推荐路径 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路径 1（优先，满足 JM 实验类期刊要求）：开展单齿弯曲疲劳试验</w:t>
      </w:r>
    </w:p>
    <w:p w14:paraId="7487B1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7E576B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试样：本文同款\(m_n=3,z_1=20\) 42CrMo4 调质齿轮，加工\(R_z=4/15/50\)三类齿面；</w:t>
      </w:r>
    </w:p>
    <w:p w14:paraId="4AEBB40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试验矩阵：覆盖 ISO/AGMA/FKM 三套计算对应的应力区间，同时包含 700/600/500N・m 扭矩，采集有限寿命 + run-out 数据；</w:t>
      </w:r>
    </w:p>
    <w:p w14:paraId="7F8F701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校准：用试验真实\(N_f\)校准整套仿真管道，修正 Basquin、均值修正、粗糙度惩罚全部公式偏差；</w:t>
      </w:r>
    </w:p>
    <w:p w14:paraId="06456F7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对比：定量区分</w:t>
      </w:r>
      <w:r>
        <w:rPr>
          <w:rStyle w:val="9"/>
          <w:color w:val="000000"/>
          <w:sz w:val="24"/>
          <w:szCs w:val="24"/>
          <w:bdr w:val="none" w:color="auto" w:sz="0" w:space="0"/>
        </w:rPr>
        <w:t>方法带来的散差</w:t>
      </w:r>
      <w:r>
        <w:rPr>
          <w:color w:val="000000"/>
          <w:sz w:val="24"/>
          <w:szCs w:val="24"/>
          <w:bdr w:val="none" w:color="auto" w:sz="0" w:space="0"/>
        </w:rPr>
        <w:t>和</w:t>
      </w:r>
      <w:r>
        <w:rPr>
          <w:rStyle w:val="9"/>
          <w:color w:val="000000"/>
          <w:sz w:val="24"/>
          <w:szCs w:val="24"/>
          <w:bdr w:val="none" w:color="auto" w:sz="0" w:space="0"/>
        </w:rPr>
        <w:t>材料 / 制造物理散差</w:t>
      </w:r>
      <w:r>
        <w:rPr>
          <w:color w:val="000000"/>
          <w:sz w:val="24"/>
          <w:szCs w:val="24"/>
          <w:bdr w:val="none" w:color="auto" w:sz="0" w:space="0"/>
        </w:rPr>
        <w:t>，所有方差百分比、跨标准 dex 差值全部用试验校正后数据重新计算。</w:t>
      </w:r>
    </w:p>
    <w:p w14:paraId="7F483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路径 2（纯方法学稿件，放弃工程设计指导结论，适合仅做统计框架）：</w:t>
      </w:r>
    </w:p>
    <w:p w14:paraId="158BCD2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彻底删除 4.8 跨标准偏移、4.9 风险分级、4.10 设计案例、表 5/6 全部工程量化表格；</w:t>
      </w:r>
    </w:p>
    <w:p w14:paraId="38603BF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摘要、引言、结论删掉所有「标准协调、设计管控、风险阈值」类工程建议；</w:t>
      </w:r>
    </w:p>
    <w:p w14:paraId="3FB875E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全文定位改为</w:t>
      </w:r>
      <w:r>
        <w:rPr>
          <w:rStyle w:val="9"/>
          <w:color w:val="000000"/>
          <w:sz w:val="24"/>
          <w:szCs w:val="24"/>
          <w:bdr w:val="none" w:color="auto" w:sz="0" w:space="0"/>
        </w:rPr>
        <w:t>仅提出一套处理多标准、删失疲劳数据的 AFT 分解统计工具</w:t>
      </w:r>
      <w:r>
        <w:rPr>
          <w:color w:val="000000"/>
          <w:sz w:val="24"/>
          <w:szCs w:val="24"/>
          <w:bdr w:val="none" w:color="auto" w:sz="0" w:space="0"/>
        </w:rPr>
        <w:t>，所有 55.3%、2.79dex 等数值仅作为算例演示，不再赋予工程参考意义。</w:t>
      </w:r>
    </w:p>
    <w:p w14:paraId="72A73B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5FF6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兜底强制修改：保留现有仿真的前提下</w:t>
      </w:r>
    </w:p>
    <w:p w14:paraId="3DD25C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4C1458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所有涉及定量工程建议的段落、表格前增加</w:t>
      </w:r>
      <w:r>
        <w:rPr>
          <w:rStyle w:val="9"/>
          <w:color w:val="000000"/>
          <w:sz w:val="24"/>
          <w:szCs w:val="24"/>
          <w:bdr w:val="none" w:color="auto" w:sz="0" w:space="0"/>
        </w:rPr>
        <w:t>独立醒目警告框（双线灰色块，占整行宽度）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8F2FF5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警告文字固定：</w:t>
      </w:r>
      <w:r>
        <w:rPr>
          <w:rStyle w:val="9"/>
          <w:color w:val="000000"/>
          <w:sz w:val="24"/>
          <w:szCs w:val="24"/>
          <w:bdr w:val="none" w:color="auto" w:sz="0" w:space="0"/>
        </w:rPr>
        <w:t>本套数值结果完全基于理想化无残余应力单齿轮数值仿真，无物理疲劳试验校准，所有比例、寿命差值不可用于任何齿轮产品设计、标准修订、安全评估，仅用于演示所提 AFT 统计框架的计算流程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57489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缺陷 2：统一\(Y_{Sa}\)人为破坏三套标准原生计算，55.3% 仅局部分量</w:t>
      </w:r>
    </w:p>
    <w:p w14:paraId="20B67F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修正操作</w:t>
      </w:r>
    </w:p>
    <w:p w14:paraId="174272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新增全套原生标准仿真对照组（核心补充仿真）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420C13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彻底搭建三套标准</w:t>
      </w:r>
      <w:r>
        <w:rPr>
          <w:rStyle w:val="9"/>
          <w:color w:val="000000"/>
          <w:sz w:val="24"/>
          <w:szCs w:val="24"/>
          <w:bdr w:val="none" w:color="auto" w:sz="0" w:space="0"/>
        </w:rPr>
        <w:t>完整原生计算链</w:t>
      </w:r>
      <w:r>
        <w:rPr>
          <w:color w:val="000000"/>
          <w:sz w:val="24"/>
          <w:szCs w:val="24"/>
          <w:bdr w:val="none" w:color="auto" w:sz="0" w:space="0"/>
        </w:rPr>
        <w:t>： ISO：保留\(Y_{Sa}\)原生流程； AGMA：删除统一\(Y_{Sa}\)，完整查表 J 几何系数，原生应力计算； FKM：废弃 Peterson 近似，严格执行 7 版规范全套应力梯度、支撑系数查表法计算\(K_f\)；</w:t>
      </w:r>
    </w:p>
    <w:p w14:paraId="78575B9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重新跑完整 144 组合全因子 AFT 分解，给出</w:t>
      </w:r>
      <w:r>
        <w:rPr>
          <w:rStyle w:val="9"/>
          <w:color w:val="000000"/>
          <w:sz w:val="24"/>
          <w:szCs w:val="24"/>
          <w:bdr w:val="none" w:color="auto" w:sz="0" w:space="0"/>
        </w:rPr>
        <w:t>无人工统一基线的真实标准方差占比</w:t>
      </w:r>
      <w:r>
        <w:rPr>
          <w:color w:val="000000"/>
          <w:sz w:val="24"/>
          <w:szCs w:val="24"/>
          <w:bdr w:val="none" w:color="auto" w:sz="0" w:space="0"/>
        </w:rPr>
        <w:t>作为主结果；</w:t>
      </w:r>
    </w:p>
    <w:p w14:paraId="228AB54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原文 55.3% 统一基线数据降级为辅助敏感性附图，正文主数据替换为原生完整标准分解值；</w:t>
      </w:r>
    </w:p>
    <w:p w14:paraId="7FDD7BA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行文逻辑重构： </w:t>
      </w:r>
    </w:p>
    <w:p w14:paraId="045FA0F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 节重新组织，先给出原生全标准主结果，再介绍统一\(Y_{Sa}\)仅作为控制变量敏感性分析手段；</w:t>
      </w:r>
    </w:p>
    <w:p w14:paraId="11AAE79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所有图表、摘要、结论不再把 55.3% 作为核心结论，改为对比展示两套基线的方差差异；</w:t>
      </w:r>
    </w:p>
    <w:p w14:paraId="5560E6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消除文字误导：删除「标准仍是第一主导因素」这类仅基于统一基线的绝对化表述，改为</w:t>
      </w:r>
      <w:r>
        <w:rPr>
          <w:rStyle w:val="9"/>
          <w:color w:val="000000"/>
          <w:sz w:val="24"/>
          <w:szCs w:val="24"/>
          <w:bdr w:val="none" w:color="auto" w:sz="0" w:space="0"/>
        </w:rPr>
        <w:t>在本齿轮几何下，无论统一基线还是原生完整标准，标准选择均为首要不确定性来源，但具体占比存在显著差异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60454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缺陷 3：FKM 全程使用 Peterson 简化，未执行官方完整规范</w:t>
      </w:r>
    </w:p>
    <w:p w14:paraId="53A9D8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修正操作</w:t>
      </w:r>
    </w:p>
    <w:p w14:paraId="61B5B0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补充完整 FKM 官方查表 + 应力梯度仿真模块，替换近似\(K_f\)；</w:t>
      </w:r>
    </w:p>
    <w:p w14:paraId="74C34A0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重新计算 AGMA-FKM 寿命差值\(\Delta_{AGMA \to FKM}\)，更新所有 dex 差值；</w:t>
      </w:r>
    </w:p>
    <w:p w14:paraId="472EBC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2.2.4、2.3、4.8 三处同步修改表述：原文 “FKM 标准计算” 全部改为「简化近似 FKM 计算（仅辅助对照），完整 FKM 原生流程结果见 §2.3 补充仿真」。</w:t>
      </w:r>
    </w:p>
    <w:p w14:paraId="7526E2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二、【大规模补充仿真：缺少定量敏感性，仅文字定性不达标】</w:t>
      </w:r>
    </w:p>
    <w:p w14:paraId="3A4AF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以下全部需要新增仿真数据 + 配套图表，补齐不确定性完整边界</w:t>
      </w:r>
    </w:p>
    <w:p w14:paraId="34A25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残余应力全维度敏感性仿真（当前仅文字描述，无数值）</w:t>
      </w:r>
    </w:p>
    <w:p w14:paraId="1EF73C7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增设 3 组残余应力工况： 1）磨削齿面：-300MPa 表面压应力； 2）机加工：0MPa； 3）锻造齿面：+150MPa 拉应力；</w:t>
      </w:r>
    </w:p>
    <w:p w14:paraId="391ADC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每组完整重跑 144 组合 AFT 分解，输出均值应力项 18.2% 的浮动区间；</w:t>
      </w:r>
    </w:p>
    <w:p w14:paraId="7D39FA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新增子图展示残余应力对五大因子方差占比的影响；</w:t>
      </w:r>
    </w:p>
    <w:p w14:paraId="64FD628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渗碳齿轮补充 200~400MPa 压应力仿真，单独出具一组方差分解作为拓展结果。</w:t>
      </w:r>
    </w:p>
    <w:p w14:paraId="3D9B3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\(R_z/R_a\)换算区间遍历仿真</w:t>
      </w:r>
    </w:p>
    <w:p w14:paraId="7524299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遍历比值 4、6、10、20（覆盖磨 / 机 / 锻全工艺区间），分别重新分解方差；</w:t>
      </w:r>
    </w:p>
    <w:p w14:paraId="5F761C7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定量给出粗糙度 22.6% 的上下浮动范围，在图 7 增加多比值对比副图；</w:t>
      </w:r>
    </w:p>
    <w:p w14:paraId="1C23E5D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 AGMA 粗糙度系数带来的系统误差，更新跨标准寿命差值。</w:t>
      </w:r>
    </w:p>
    <w:p w14:paraId="672FF0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补充全部二阶交互项完整全因子设计</w:t>
      </w:r>
    </w:p>
    <w:p w14:paraId="294D8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当前仅保留「标准 ×\(R_z\)」，缺失均值应力 × 标准、均值应力 × 粗糙度、S-N× 标准；</w:t>
      </w:r>
    </w:p>
    <w:p w14:paraId="3D2C40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拓展实验设计至完整二阶交互全因子，重新运行 AFT；</w:t>
      </w:r>
    </w:p>
    <w:p w14:paraId="25E54B2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量化所有交互项方差占比，修正五大主效应数值偏差；</w:t>
      </w:r>
    </w:p>
    <w:p w14:paraId="317E4A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在表 2 新增交互项完整列表，补充交互效应可视化图。</w:t>
      </w:r>
    </w:p>
    <w:p w14:paraId="043BC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 多载荷系数联合敏感性（仅测\(K_A\)，缺失\(K_V/K_{F\beta}\)）</w:t>
      </w:r>
    </w:p>
    <w:p w14:paraId="05C9092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联合设置\(K_V=1.0/1.3/1.6\)、\(K_{F\beta}=1.0/1.4\)，和\(K_A\)三因子组合仿真；</w:t>
      </w:r>
    </w:p>
    <w:p w14:paraId="2DD0078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输出不同动载、偏载下因子排名变化，完善低转速、偏载工业工况讨论。</w:t>
      </w:r>
    </w:p>
    <w:p w14:paraId="50CF0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 多齿轮几何仿真（单\(m_n=3,z_20\)结论无普适佐证）</w:t>
      </w:r>
    </w:p>
    <w:p w14:paraId="1A656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新增两组对照齿轮： 1）大模数\(m_n=8\)（ISO 尺寸因子不再 = 1）； 2）少齿数\(z_1=14\)（AGMA J 系数大幅偏移）； 分别跑原生全标准分解，对比方差排名差异，明确结论几何适用边界。</w:t>
      </w:r>
    </w:p>
    <w:p w14:paraId="105F4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 拓展多组随机变幅载荷谱（仅两级块谱不足）</w:t>
      </w:r>
    </w:p>
    <w:p w14:paraId="61E73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新增工业典型随机变速箱载荷谱，引入带载荷交互、损伤滞后的非线性损伤模型； 量化变幅下累积损伤规则方差占比，修正 “0.3% 通用” 的片面结论。</w:t>
      </w:r>
    </w:p>
    <w:p w14:paraId="5C3F6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S-N 曲线拓展补充已完成，但需优化展示</w:t>
      </w:r>
    </w:p>
    <w:p w14:paraId="4EC9A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 5 条 S-N 曲线仿真保留，将图 9 提升至正文主图，放在 §4.4 核心位置，不再作为附属补充图，重点说明材料变异性可与标准选择同等重要。</w:t>
      </w:r>
    </w:p>
    <w:p w14:paraId="0FF7D6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三、【统计模型严谨性整改：AFT 核心假设缺陷补齐】</w:t>
      </w:r>
    </w:p>
    <w:p w14:paraId="227365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非信息删失假设验证（当前仅侧面佐证）</w:t>
      </w:r>
    </w:p>
    <w:p w14:paraId="515314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修正操作</w:t>
      </w:r>
    </w:p>
    <w:p w14:paraId="0C6B21C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</w:t>
      </w:r>
      <w:r>
        <w:rPr>
          <w:rStyle w:val="9"/>
          <w:color w:val="000000"/>
          <w:sz w:val="24"/>
          <w:szCs w:val="24"/>
          <w:bdr w:val="none" w:color="auto" w:sz="0" w:space="0"/>
        </w:rPr>
        <w:t>混合模式（Pattern-Mixture AFT）</w:t>
      </w:r>
      <w:r>
        <w:rPr>
          <w:color w:val="000000"/>
          <w:sz w:val="24"/>
          <w:szCs w:val="24"/>
          <w:bdr w:val="none" w:color="auto" w:sz="0" w:space="0"/>
        </w:rPr>
        <w:t xml:space="preserve"> 模型对比仿真，人为设定删失与真实寿命弱相关，量化方差占比偏移量；</w:t>
      </w:r>
    </w:p>
    <w:p w14:paraId="7C32171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§4.12 专门增加统计校验小节，给出混合模型与基准模型的方差差值；</w:t>
      </w:r>
    </w:p>
    <w:p w14:paraId="07C1233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明确表述：</w:t>
      </w:r>
      <w:r>
        <w:rPr>
          <w:rStyle w:val="9"/>
          <w:color w:val="000000"/>
          <w:sz w:val="24"/>
          <w:szCs w:val="24"/>
          <w:bdr w:val="none" w:color="auto" w:sz="0" w:space="0"/>
        </w:rPr>
        <w:t>本研究删失存在内生相关性风险，基准 AFT 结果存在小幅潜在偏倚，混合模型测算偏差区间为 XX~XX 个百分点</w:t>
      </w:r>
      <w:r>
        <w:rPr>
          <w:color w:val="000000"/>
          <w:sz w:val="24"/>
          <w:szCs w:val="24"/>
          <w:bdr w:val="none" w:color="auto" w:sz="0" w:space="0"/>
        </w:rPr>
        <w:t>，不再仅靠阈值测试佐证。</w:t>
      </w:r>
    </w:p>
    <w:p w14:paraId="0D263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模型选择表述统一</w:t>
      </w:r>
    </w:p>
    <w:p w14:paraId="378ED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 log-logistic 更优但选用对数正态的理由保留，新增定量敏感性：分别用 log-logistic 完整重跑全因子分解，并列两套模型方差表放在正文，直观展示排名不变、数值小幅浮动。</w:t>
      </w:r>
    </w:p>
    <w:p w14:paraId="5231E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58% 高删失识别边界说明</w:t>
      </w:r>
    </w:p>
    <w:p w14:paraId="4DDCF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补充多组不同样本量、不同删失率（30%/45%/58%/75%）蒙特卡洛仿真，定量给出高删失下各因子估计误差，在表 2 置信区间旁补充识别误差浮动范围。</w:t>
      </w:r>
    </w:p>
    <w:p w14:paraId="5ADD8A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四、【全文文字、逻辑、图表统一整改（所有版本遗留行文矛盾）】</w:t>
      </w:r>
    </w:p>
    <w:p w14:paraId="739BC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严格区分两类概念，彻底消除普适性混淆</w:t>
      </w:r>
    </w:p>
    <w:p w14:paraId="7037E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强制全文统一措辞，严格分割： 1）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统计 AFT 分解框架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：可通用轴承、曲轴、齿轮，无适用限制； 2）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本文定量方差数值（55.3%、2.79dex、18.2% 等）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：仅限「\(m_n=3,z_1=20\)、700N・m、调质无残余、恒幅 R=0、统一\(Y_{Sa}\)基线」理想化仿真； 操作：</w:t>
      </w:r>
    </w:p>
    <w:p w14:paraId="616217F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摘要、引言、结论分两段独立阐述，严禁混为一谈；</w:t>
      </w:r>
    </w:p>
    <w:p w14:paraId="60D4A7F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每张图表标题末尾增加括号标注适用约束条件；</w:t>
      </w:r>
    </w:p>
    <w:p w14:paraId="1102DC8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所有设计案例、风险表格标题前置约束说明。</w:t>
      </w:r>
    </w:p>
    <w:p w14:paraId="14BFE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消除 “单一固定优先级” 夸大表述</w:t>
      </w:r>
    </w:p>
    <w:p w14:paraId="19284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原文 “标准是第一不确定性来源” 全部限定条件，改为： 1）在本文单齿轮、700N・m 高应力工况下，标准选择为首要； 2）低扭矩、渗碳、多热处理材料场景下，粗糙度 / 材料 S-N 可成为首要因素； 删除所有无前提的绝对化论断。</w:t>
      </w:r>
    </w:p>
    <w:p w14:paraId="716F51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修正行文逻辑倒置（均值应力 R=0 结论）</w:t>
      </w:r>
    </w:p>
    <w:p w14:paraId="6F2D2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固定语序：先说明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本工况 σm/σut≈0.25 高比值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，再给出 18.2% 占比，最后补充工业低应力齿轮均值贡献大幅降低，杜绝先抛颠覆性结论再补约束。</w:t>
      </w:r>
    </w:p>
    <w:p w14:paraId="1FEE76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 图表、数值标准化整改</w:t>
      </w:r>
    </w:p>
    <w:p w14:paraId="79ECC93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所有图注、表脚统一标注约束下界、仿真前提；</w:t>
      </w:r>
    </w:p>
    <w:p w14:paraId="7516A84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Bootstrap 均值 / 模型点估计分栏展示，不混用；</w:t>
      </w:r>
    </w:p>
    <w:p w14:paraId="5A461FF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统一置信区间小数保留 1 位，所有敏感性偏差数值统一标注；</w:t>
      </w:r>
    </w:p>
    <w:p w14:paraId="55AB0BF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 8、图 10 补充完整注释，解释 ISO 粗糙度截断、Sobol 随删失上升的偏差机理。</w:t>
      </w:r>
    </w:p>
    <w:p w14:paraId="677EE9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 Phase2 研究路线完善</w:t>
      </w:r>
    </w:p>
    <w:p w14:paraId="62FE4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补充当前缺失计划：多模数齿轮、完整 FKM 原生仿真、残余应力系统试验、随机变幅损伤模型、实体疲劳试验，完整写入 §4.12 路线图，不再留白。</w:t>
      </w:r>
    </w:p>
    <w:p w14:paraId="752425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五、【参考文献与讨论补充优化】</w:t>
      </w:r>
    </w:p>
    <w:p w14:paraId="4AC25EC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增加多篇 ISO/AGMA/FKM 多标准定量对比实验文献，用已发表试验数据对标本文仿真趋势，弥补无自建试验的短板；</w:t>
      </w:r>
    </w:p>
    <w:p w14:paraId="45375E8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§4.4 方法 vs 材料散差讨论重写，结合多 S-N、多齿轮仿真结果，客观说明 “方法不一定主导，取决于材料区间选取”，弱化原文单边结论；</w:t>
      </w:r>
    </w:p>
    <w:p w14:paraId="5E52919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删减过于营销化文学句式（“The Standard Gamble、三个法庭”），机械期刊保持严谨学术文风，减少文学比喻。</w:t>
      </w:r>
    </w:p>
    <w:p w14:paraId="42F2D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六、修正优先级划分（审稿提交顺序）</w:t>
      </w:r>
    </w:p>
    <w:p w14:paraId="450AF1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最高优先级（大修必填，不修改直接拒稿）</w:t>
      </w:r>
    </w:p>
    <w:p w14:paraId="1422D1F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搭建三套标准完整原生计算链，替换统一\(Y_{Sa}\)作为主结果；</w:t>
      </w:r>
    </w:p>
    <w:p w14:paraId="49618AB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方案 A：开展实体单齿弯曲疲劳试验校准仿真；方案 B：全文删除所有工程设计量化指导内容，仅保留统计方法学；</w:t>
      </w:r>
    </w:p>
    <w:p w14:paraId="0B4B688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 FKM 官方查表流程替换 Peterson 近似；</w:t>
      </w:r>
    </w:p>
    <w:p w14:paraId="685A0CA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混合模型检验非信息删失假设，补齐统计严谨性。</w:t>
      </w:r>
    </w:p>
    <w:p w14:paraId="6D5A40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第二优先级（补充仿真，缺一不可）</w:t>
      </w:r>
    </w:p>
    <w:p w14:paraId="5C117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残余应力、\(R_z/R_a\)区间、完整二阶交互、多载荷、多齿轮几何、随机变幅载荷全套敏感性仿真 + 图表。</w:t>
      </w:r>
    </w:p>
    <w:p w14:paraId="08239C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第三优先级（文字图表小幅修改，提交前完成）</w:t>
      </w:r>
    </w:p>
    <w:p w14:paraId="783B6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全文概念拆分、约束标注、图表注释、路线图完善、文风简化。</w:t>
      </w:r>
    </w:p>
    <w:p w14:paraId="31EF7B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七、最简折中方案（作者试验条件有限、无法做齿轮实物试验）</w:t>
      </w:r>
    </w:p>
    <w:p w14:paraId="1DCED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若实验室不具备齿轮疲劳试验机，无法开展实体试验，采用折中修改路径：</w:t>
      </w:r>
    </w:p>
    <w:p w14:paraId="149B54E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彻底删除 4.8~4.10 所有工程风险、标准协调、设计管控内容，移除表 5、6 全部量化设计表格；</w:t>
      </w:r>
    </w:p>
    <w:p w14:paraId="4E9D7FF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全文所有数值仅作为统计算例演示，摘要、结论明确：</w:t>
      </w:r>
      <w:r>
        <w:rPr>
          <w:rStyle w:val="9"/>
          <w:color w:val="000000"/>
          <w:sz w:val="24"/>
          <w:szCs w:val="24"/>
          <w:bdr w:val="none" w:color="auto" w:sz="0" w:space="0"/>
        </w:rPr>
        <w:t>无物理试验，本研究仅提出统计分解工具，所有比例不具备工程设计参考价值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EB15EE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优先完成「完整原生三套标准仿真、FKM 完整规范、残余应力、交互项、多几何」全套补充仿真，补齐建模完整性；</w:t>
      </w:r>
    </w:p>
    <w:p w14:paraId="327E567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弱化所有工程导向讨论，全文重心转移至 AFT 删失敏感性分析方法创新，放弃 “量化齿轮设计不确定性” 核心工程 claim，仅突出统计方法学贡献。 该折中方案可满足 JM 纯计算方法类稿件录用标准，但无法作为工程应用类论文发表。</w:t>
      </w:r>
    </w:p>
    <w:p w14:paraId="3DA6D4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89557"/>
    <w:multiLevelType w:val="multilevel"/>
    <w:tmpl w:val="A5E895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48367F"/>
    <w:multiLevelType w:val="multilevel"/>
    <w:tmpl w:val="AC4836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AFC9EA"/>
    <w:multiLevelType w:val="multilevel"/>
    <w:tmpl w:val="DDAFC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3E3619"/>
    <w:multiLevelType w:val="multilevel"/>
    <w:tmpl w:val="DF3E3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B48C67"/>
    <w:multiLevelType w:val="multilevel"/>
    <w:tmpl w:val="FEB48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A429D0"/>
    <w:multiLevelType w:val="multilevel"/>
    <w:tmpl w:val="FFA429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85E470"/>
    <w:multiLevelType w:val="multilevel"/>
    <w:tmpl w:val="0E85E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956CA04"/>
    <w:multiLevelType w:val="multilevel"/>
    <w:tmpl w:val="2956C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09C9E30"/>
    <w:multiLevelType w:val="multilevel"/>
    <w:tmpl w:val="509C9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74E807A"/>
    <w:multiLevelType w:val="multilevel"/>
    <w:tmpl w:val="574E8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8981552"/>
    <w:multiLevelType w:val="multilevel"/>
    <w:tmpl w:val="689815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A40CF1D"/>
    <w:multiLevelType w:val="multilevel"/>
    <w:tmpl w:val="6A40CF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F8DDCE6"/>
    <w:multiLevelType w:val="multilevel"/>
    <w:tmpl w:val="6F8DD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2E71905"/>
    <w:multiLevelType w:val="multilevel"/>
    <w:tmpl w:val="72E71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4C69E4E"/>
    <w:multiLevelType w:val="multilevel"/>
    <w:tmpl w:val="74C69E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8"/>
  </w:num>
  <w:num w:numId="11">
    <w:abstractNumId w:val="2"/>
  </w:num>
  <w:num w:numId="12">
    <w:abstractNumId w:val="3"/>
  </w:num>
  <w:num w:numId="13">
    <w:abstractNumId w:val="13"/>
  </w:num>
  <w:num w:numId="14">
    <w:abstractNumId w:val="11"/>
  </w:num>
  <w:num w:numId="15">
    <w:abstractNumId w:val="7"/>
  </w:num>
  <w:num w:numId="16">
    <w:abstractNumId w:val="6"/>
  </w:num>
  <w:num w:numId="17">
    <w:abstractNumId w:val="10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B2C4F"/>
    <w:rsid w:val="24741E5C"/>
    <w:rsid w:val="477C2A7C"/>
    <w:rsid w:val="592B5B5A"/>
    <w:rsid w:val="636B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2026-08-08T02:44:00Z</dcterms:created>
  <dc:creator>陈智磊</dc:creator>
  <cp:lastModifiedBy>陈智磊</cp:lastModifiedBy>
  <dcterms:modified xsi:type="dcterms:W3CDTF">2026-08-08T03:42:52Z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2BD300CDA6944B7E9406A1E90EF627AA_13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