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数据验证增强方案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对抗性盲测实验设计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实验目标：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验证模型在噪声环境下的真实检测能力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具体步骤：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背景噪声选择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从哈勃深空场（HDF）选择5个无天体区域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每个区域尺寸：2048×2048像素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曝光时间匹配：使用与3I/ATLAS观测相同的F606W滤波器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人工信号植入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测试参数设置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信噪比梯度：SNR=3, 5, 10, 20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尘埃模型：球形(Mie) vs 非球形(DDA)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数量：每种组合生成100个测试样本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评估指标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检测率：&gt;95% @ SNR≥5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参数偏差：|ΔQ_d/Q_d| &lt; 15%</w:t>
      </w:r>
      <w:bookmarkEnd w:id="1016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误报率：&lt; 5%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系统误差量化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实施方法：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域偏移量化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计算太阳系彗星与星际彗星特征空间距离</w:t>
      </w:r>
      <w:bookmarkEnd w:id="1021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使用最大均值差异（MMD）度量</w:t>
      </w:r>
      <w:bookmarkEnd w:id="1022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公式：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MMD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/>
              </w:rPr>
              <m:t>i,j</m:t>
            </m:r>
          </m:sub>
          <m:sup/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k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/>
              </w:rPr>
              <m:t>i,j</m:t>
            </m:r>
          </m:sub>
          <m:sup/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k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nm</m:t>
            </m:r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/>
              </w:rPr>
              <m:t>i,j</m:t>
            </m:r>
          </m:sub>
          <m:sup/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k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不确定性传播</w:t>
      </w:r>
      <w:bookmarkEnd w:id="1024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蒙特卡洛dropout：进行1000次前向传播</w:t>
      </w:r>
      <w:bookmarkEnd w:id="1025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总不确定性：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on"/>
          </m:radPr>
          <m:deg/>
          <m:e>
            <m:sSubSup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aleatoric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epistemic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物理模型修正方案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分层反演策略实施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第一阶段：快速反演（保持现有流程）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第二阶段：物理修正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修正因子计算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具体实现步骤：</w:t>
      </w:r>
      <w:bookmarkEnd w:id="1032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使用DDA代码计算非球形颗粒消光效率</w:t>
      </w:r>
      <w:bookmarkEnd w:id="1033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考虑尘埃聚合体结构（分形维数D_f=2.0-2.5）</w:t>
      </w:r>
      <w:bookmarkEnd w:id="1034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计算不同波长下的修正因子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参数修正公式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偏振数据融合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操作流程：</w:t>
      </w:r>
      <w:bookmarkEnd w:id="103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数据获取</w:t>
      </w:r>
      <w:bookmarkEnd w:id="1039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从ALMA获取3I/ATLAS的偏振观测数据</w:t>
      </w:r>
      <w:bookmarkEnd w:id="1040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波段：B、V、R三波段偏振度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形状反推</w:t>
      </w:r>
      <w:bookmarkEnd w:id="1042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使用Mueller矩阵反演尘埃形状参数</w:t>
      </w:r>
      <w:bookmarkEnd w:id="1043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约束条件：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model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aspectratio</m:t>
            </m:r>
          </m:e>
          <m:e>
            <m:r>
              <w:rPr>
                <w:rFonts w:ascii="Cambria Math" w:hAnsi="Cambria Math"/>
              </w:rPr>
              <m:t>porosity</m:t>
            </m:r>
          </m:e>
        </m:d>
      </m:oMath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联合反演</w:t>
      </w:r>
      <w:bookmarkEnd w:id="1045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构建多目标损失函数：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形成环境论证强化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化学指纹对比分析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新增对比维度：</w:t>
      </w:r>
      <w:bookmarkEnd w:id="104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挥发性排序表</w:t>
      </w:r>
      <w:bookmarkEnd w:id="1050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660"/>
        <w:gridCol w:w="1660"/>
        <w:gridCol w:w="1660"/>
        <w:gridCol w:w="1660"/>
      </w:tblGrid>
      <w:tr>
        <w:trPr>
          <w:trHeight w:hRule="atLeast" w:val="800"/>
        </w:trPr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物质</w:t>
            </w:r>
            <w:bookmarkEnd w:id="1051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凝结温度(K)</w:t>
            </w:r>
            <w:bookmarkEnd w:id="1052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3I/ATLAS</w:t>
            </w:r>
            <w:bookmarkEnd w:id="1053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2I/Borisov</w:t>
            </w:r>
            <w:bookmarkEnd w:id="1054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典型OCC</w:t>
            </w:r>
            <w:bookmarkEnd w:id="1055"/>
          </w:p>
        </w:tc>
      </w:tr>
      <w:tr>
        <w:trPr>
          <w:trHeight w:hRule="atLeast" w:val="800"/>
        </w:trPr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CO</w:t>
            </w:r>
            <w:bookmarkEnd w:id="1056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</w:t>
            </w:r>
            <w:bookmarkEnd w:id="1057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0.42</w:t>
            </w:r>
            <w:bookmarkEnd w:id="1058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0.15</w:t>
            </w:r>
            <w:bookmarkEnd w:id="1059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0.3-0.8</w:t>
            </w:r>
            <w:bookmarkEnd w:id="1060"/>
          </w:p>
        </w:tc>
      </w:tr>
      <w:tr>
        <w:trPr>
          <w:trHeight w:hRule="atLeast" w:val="800"/>
        </w:trPr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CH</w:t>
            </w:r>
            <w:r>
              <w:t xml:space="preserve"> </w:t>
            </w:r>
            <m:oMath xmlns:m="http://schemas.openxmlformats.org/officeDocument/2006/math" xmlns:mml="http://www.w3.org/1998/Math/MathML">
              <m:sSub>
                <m:e/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bookmarkEnd w:id="1061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35</w:t>
            </w:r>
            <w:bookmarkEnd w:id="1062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0.18</w:t>
            </w:r>
            <w:bookmarkEnd w:id="1063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&lt;0.05</w:t>
            </w:r>
            <w:bookmarkEnd w:id="1064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0.1-0.5</w:t>
            </w:r>
            <w:bookmarkEnd w:id="1065"/>
          </w:p>
        </w:tc>
      </w:tr>
      <w:tr>
        <w:trPr>
          <w:trHeight w:hRule="atLeast" w:val="800"/>
        </w:trPr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H</w:t>
            </w:r>
            <w:r>
              <w:t xml:space="preserve"> </w:t>
            </w:r>
            <m:oMath xmlns:m="http://schemas.openxmlformats.org/officeDocument/2006/math" xmlns:mml="http://www.w3.org/1998/Math/MathML">
              <m:sSub>
                <m:e/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O</w:t>
            </w:r>
            <w:bookmarkEnd w:id="1066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150</w:t>
            </w:r>
            <w:bookmarkEnd w:id="1067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1.00</w:t>
            </w:r>
            <w:bookmarkEnd w:id="1068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1.00</w:t>
            </w:r>
            <w:bookmarkEnd w:id="1069"/>
          </w:p>
        </w:tc>
        <w:tc>
          <w:tcPr>
            <w:tcW w:type="dxa" w:w="16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1.00</w:t>
            </w:r>
            <w:bookmarkEnd w:id="1070"/>
          </w:p>
        </w:tc>
      </w:tr>
    </w:tbl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化学演化模型</w:t>
      </w:r>
      <w:bookmarkEnd w:id="1071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 thermochemical equilibrium codes</w:t>
      </w:r>
      <w:bookmarkEnd w:id="1072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输入参数：T, P, C/O ratio</w:t>
      </w:r>
      <w:bookmarkEnd w:id="1073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输出：预期的分子丰度比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时间演化分析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具体实施：</w:t>
      </w:r>
      <w:bookmarkEnd w:id="107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数据分箱</w:t>
      </w:r>
      <w:bookmarkEnd w:id="1077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按距离太阳距离分箱：r_h &lt; 2.5 AU, 2.5-3.5 AU, &gt;3.5 AU</w:t>
      </w:r>
      <w:bookmarkEnd w:id="1078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每箱至少包含20个有效观测点</w:t>
      </w:r>
      <w:bookmarkEnd w:id="107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梯度检测</w:t>
      </w:r>
      <w:bookmarkEnd w:id="1080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计算 outgassing gradient: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∇</m:t>
        </m:r>
        <m:d>
          <m:dPr>
            <m:sepChr m:val=","/>
          </m:dPr>
          <m:e>
            <m:r>
              <w:rPr>
                <w:rFonts w:ascii="Cambria Math" w:hAnsi="Cambria Math"/>
              </w:rPr>
              <m:t>CO/</m:t>
            </m:r>
            <m:sSub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O</m:t>
            </m:r>
          </m:e>
        </m:d>
      </m:oMath>
      <w:bookmarkEnd w:id="1081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统计检验：Mann-Kendall trend test</w:t>
      </w:r>
      <w:bookmarkEnd w:id="1082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显著性水平：p &lt; 0.01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论文结构调整计划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新增章节内容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Section 4.4: Adversarial Validation and Systematic Floor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内容大纲：</w:t>
      </w:r>
      <w:bookmarkEnd w:id="108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实验设计</w:t>
      </w:r>
      <w:bookmarkEnd w:id="1088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对抗性测试结果</w:t>
      </w:r>
      <w:bookmarkEnd w:id="1089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域偏移量化分析</w:t>
      </w:r>
      <w:bookmarkEnd w:id="1090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总不确定性预算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关键图表：</w:t>
      </w:r>
      <w:bookmarkEnd w:id="109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图4.4a: 不同SNR下的检测性能</w:t>
      </w:r>
      <w:bookmarkEnd w:id="1093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图4.4b: 修正因子随尘埃参数的变化</w:t>
      </w:r>
      <w:bookmarkEnd w:id="1094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表4.4: 系统误差来源及量化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摘要重写指南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新摘要结构：</w:t>
      </w:r>
      <w:bookmarkEnd w:id="1097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问题陈述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（1句）</w:t>
      </w:r>
      <w:bookmarkEnd w:id="1098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方法创新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（2句）</w:t>
      </w:r>
      <w:bookmarkEnd w:id="1099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关键结果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（3句）</w:t>
      </w:r>
      <w:bookmarkEnd w:id="1100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科学意义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（1句）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示例：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"Despite the challenge of limited training data from solar system comets, we present a physics-informed deep learning framework that enables the first robust characterization of dust properties in interstellar comet 3I/ATLAS. By incorporating adversarial validation and non-spherical dust scattering corrections, we constrain the dust production rate with quantified systematic uncertainties. Our results suggest a formation environment distinct from typical solar system comets, providing new insights into interstellar volatile chemistry."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时间进度安排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第一阶段：数据验证（2周）</w:t>
      </w:r>
      <w:bookmarkEnd w:id="1105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完成对抗性测试数据集构建</w:t>
      </w:r>
      <w:bookmarkEnd w:id="1106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运行盲测实验</w:t>
      </w:r>
      <w:bookmarkEnd w:id="1107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量化域偏移误差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第二阶段：物理修正（3周）</w:t>
      </w:r>
      <w:bookmarkEnd w:id="1109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实现非球形散射修正</w:t>
      </w:r>
      <w:bookmarkEnd w:id="1110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融合偏振数据</w:t>
      </w:r>
      <w:bookmarkEnd w:id="1111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建立修正因子数据库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第三阶段：论证强化（2周）</w:t>
      </w:r>
      <w:bookmarkEnd w:id="1113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完成化学指纹对比</w:t>
      </w:r>
      <w:bookmarkEnd w:id="1114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分析时间演化趋势</w:t>
      </w:r>
      <w:bookmarkEnd w:id="1115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构建多维论证框架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第四阶段：论文修改（1周）</w:t>
      </w:r>
      <w:bookmarkEnd w:id="1117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重写方法论章节</w:t>
      </w:r>
      <w:bookmarkEnd w:id="1118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新增验证章节</w:t>
      </w:r>
      <w:bookmarkEnd w:id="1119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修订讨论和结论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预期成果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通过上述具体实施方案，修改后的论文将：</w:t>
      </w:r>
      <w:bookmarkEnd w:id="1122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数据层面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：通过对抗性验证，消除"AI幻觉"质疑</w:t>
      </w:r>
      <w:bookmarkEnd w:id="1123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物理层面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：建立从Mie到非球形散射的修正桥梁</w:t>
      </w:r>
      <w:bookmarkEnd w:id="1124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逻辑层面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：构建从观测到形成环境的完整论证链条</w:t>
      </w:r>
      <w:bookmarkEnd w:id="1125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呈现层面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：以APJ标准展示方法的严谨性和结果的可靠性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最终目标：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将这篇论文从"AI方法展示"提升为"天体物理发现"的高质量研究论文。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注：本执行策略基于当前天文学和机器学习交叉领域的最佳实践制定，实施过程中如遇具体技术问题，建议咨询相关领域专家。</w:t>
      </w:r>
      <w:bookmarkEnd w:id="1128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2026-05-16T15:58:20Z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z/lEqWULqWMwTku3FIXAiOspnxwtHfvmf8M1XTU5g00=","ProduceID":"doc_sgs:85ad3a74-eb62-42b3-a47a-a2fae74ca59a","ReservedCode2":"z/lEqWULqWMwTku3FIXAiOspnxwtHfvmf8M1XTU5g00=","PropagateID":"doc_sgs:85ad3a74-eb62-42b3-a47a-a2fae74ca59a","ContentProducer":"001191440101MA9Y9T4H7A00000"}</vt:lpwstr>
  </property>
</Properties>
</file>