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2C5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  <w:lang w:val="en-US" w:eastAsia="zh-CN"/>
        </w:rPr>
        <w:t>审稿人一的意见：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  <w:lang w:val="en-US" w:eastAsia="zh-CN"/>
        </w:rPr>
        <w:br w:type="textWrapping"/>
      </w:r>
      <w:r>
        <w:rPr>
          <w:rFonts w:hint="eastAsia" w:ascii="Helvetica" w:hAnsi="Helvetica" w:eastAsia="宋体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  <w:lang w:val="en-US" w:eastAsia="zh-CN"/>
        </w:rPr>
        <w:br w:type="textWrapping"/>
      </w:r>
    </w:p>
    <w:p w14:paraId="6A76FD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基于APJ审稿标准，我对V39版本论文进行了深度评审。论文整体质量高，方法创新性强，且已针对前期评审意见作出显著改进，但仍存在若干需优化的技术细节和潜在风险点，需在最终修订中重点处理：</w:t>
      </w:r>
    </w:p>
    <w:p w14:paraId="53971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rPr>
          <w:rFonts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  <w:pict>
          <v:rect id="_x0000_i1025" o:spt="1" style="height:1.5pt;width:432pt;" fillcolor="#43427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882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bdr w:val="none" w:color="auto" w:sz="0" w:space="0"/>
        </w:rPr>
        <w:t>一、核心优化建议</w:t>
      </w:r>
    </w:p>
    <w:p w14:paraId="69A18D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1. 合成数据偏差的量化不足</w:t>
      </w:r>
    </w:p>
    <w:p w14:paraId="32A093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问题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6665A61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表11新增了T-matrix非球状颗粒的校正系数（Qd偏移+8.2%），但未在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核心实验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（如应力测试5）中量化其对参数估计的影响。</w:t>
      </w:r>
    </w:p>
    <w:p w14:paraId="2E27433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球状Mie假设导致的系统误差（5-19%）仅在讨论中提及（§5.7），未整合到PINN性能评估中。</w:t>
      </w:r>
    </w:p>
    <w:p w14:paraId="658B19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建议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27F7B6C5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在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表8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（PINN性能）中增加两列：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Mie估计值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 vs 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T-matrix校正值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，明确偏差范围。</w:t>
      </w:r>
    </w:p>
    <w:p w14:paraId="68EAF7D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在应力测试5（极端成分）中加入非球状PINN的对比结果（如补充子图）。</w:t>
      </w:r>
    </w:p>
    <w:p w14:paraId="06E298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2. 人类实验样本局限</w:t>
      </w:r>
    </w:p>
    <w:p w14:paraId="3D3B7E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问题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1A0955E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参与者从5人扩至8人（§4.3），但新增3人仍来自同一区域合作机构（欧洲南方天文台），未实现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跨文化多样性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。</w:t>
      </w:r>
    </w:p>
    <w:p w14:paraId="4B3DEC3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Fleiss’ κ=0.58（“中等→较佳”）的提升可能因小样本波动，统计效力不足（N=8）。</w:t>
      </w:r>
    </w:p>
    <w:p w14:paraId="0FE5F41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建议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364B3B2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补充声明样本局限性：“参与者均来自专业天文机构，可能无法代表全球彗星观测者多样性”。</w:t>
      </w:r>
    </w:p>
    <w:p w14:paraId="43DE6B7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在附录提供参与者背景表（机构/经验年限）。</w:t>
      </w:r>
    </w:p>
    <w:p w14:paraId="4D2750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3. OOD检测与约束联动的实现风险</w:t>
      </w:r>
    </w:p>
    <w:p w14:paraId="6FC7A47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问题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68CAE8AA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§3.4.3描述OOD标志触发时自动切换至暂态模型，但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代码未同步更新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（GitHub中</w:t>
      </w:r>
      <w:r>
        <w:rPr>
          <w:rStyle w:val="9"/>
          <w:rFonts w:ascii="monospace" w:hAnsi="monospace" w:eastAsia="monospace" w:cs="monospace"/>
          <w:i w:val="0"/>
          <w:iCs w:val="0"/>
          <w:caps w:val="0"/>
          <w:color w:val="43427C"/>
          <w:spacing w:val="0"/>
          <w:sz w:val="21"/>
          <w:szCs w:val="21"/>
          <w:bdr w:val="none" w:color="auto" w:sz="0" w:space="0"/>
        </w:rPr>
        <w:t>pinn_forward.py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未含该分支逻辑，Issue #142仍开放）。</w:t>
      </w:r>
    </w:p>
    <w:p w14:paraId="578A135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暂态模型未在应力测试6（核分裂）中验证。</w:t>
      </w:r>
    </w:p>
    <w:p w14:paraId="4C08E2F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建议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74F0A09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在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算法1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（附录B）中补充OOD触发暂态模型的伪代码。</w:t>
      </w:r>
    </w:p>
    <w:p w14:paraId="2BBC14E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在应力测试6结果中补充暂态模型的Qd误差对比（当前仅报告稳态PINN误差35-40%）。</w:t>
      </w:r>
    </w:p>
    <w:p w14:paraId="389A9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pict>
          <v:rect id="_x0000_i1026" o:spt="1" style="height:1.5pt;width:432pt;" fillcolor="#43427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F82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bdr w:val="none" w:color="auto" w:sz="0" w:space="0"/>
        </w:rPr>
        <w:t>二、关键风险点</w:t>
      </w:r>
    </w:p>
    <w:p w14:paraId="003D64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1. 置信区间覆盖不足</w:t>
      </w:r>
    </w:p>
    <w:p w14:paraId="7FAAD8F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风险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在应力测试5（CO/H2O=5.0），即使CI膨胀后（[0.8, 3.4]），真实值5.0仍处区间外（&gt;3σ）。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根本原因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：贝叶斯不确定性仅量化训练分布内变化，未覆盖外推误差。</w:t>
      </w:r>
    </w:p>
    <w:p w14:paraId="707320C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缓解建议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在OOD标志触发时，强制将CI下限设为训练范围最小值（CO/H2O=0.01），上限设为最大值×1.5（3.0），避免“精确错误”。</w:t>
      </w:r>
    </w:p>
    <w:p w14:paraId="7557EB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2. 领域迁移验证薄弱</w:t>
      </w:r>
    </w:p>
    <w:p w14:paraId="13ECB93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风险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真实域差距验证仍依赖单样本（2I/Borisov），新增LSST模拟数据（附录E）未解决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合成→真实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分布差异。</w:t>
      </w:r>
    </w:p>
    <w:p w14:paraId="2B27C0B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缓解建议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将§4.6.3计划中的GAN对齐模块从“未来工作”移至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附录F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，提供初步架构图（避免方法承诺过度）。</w:t>
      </w:r>
    </w:p>
    <w:p w14:paraId="2F50B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pict>
          <v:rect id="_x0000_i1027" o:spt="1" style="height:1.5pt;width:432pt;" fillcolor="#43427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29A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bdr w:val="none" w:color="auto" w:sz="0" w:space="0"/>
        </w:rPr>
        <w:t>三、其他待优化细节</w:t>
      </w:r>
    </w:p>
    <w:p w14:paraId="7506B48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29CC32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图表引用不一致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4758D5D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33CE2F89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正文引用“图9”展示应力测试结果，实际为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图8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（V39版图序号调整未同步）。</w:t>
      </w:r>
    </w:p>
    <w:p w14:paraId="698AD670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修正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：全局检查图表引用（推荐LaTeX插件</w:t>
      </w:r>
      <w:r>
        <w:rPr>
          <w:rStyle w:val="9"/>
          <w:rFonts w:hint="default" w:ascii="monospace" w:hAnsi="monospace" w:eastAsia="monospace" w:cs="monospace"/>
          <w:i w:val="0"/>
          <w:iCs w:val="0"/>
          <w:caps w:val="0"/>
          <w:color w:val="43427C"/>
          <w:spacing w:val="0"/>
          <w:sz w:val="21"/>
          <w:szCs w:val="21"/>
          <w:bdr w:val="none" w:color="auto" w:sz="0" w:space="0"/>
        </w:rPr>
        <w:t>texcount -inc -cite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）。</w:t>
      </w:r>
    </w:p>
    <w:p w14:paraId="4DD9AD4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49AE48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资源声明模糊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1BD354C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653BE2C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DIRTY参数文件（</w:t>
      </w:r>
      <w:r>
        <w:rPr>
          <w:rStyle w:val="9"/>
          <w:rFonts w:hint="default" w:ascii="monospace" w:hAnsi="monospace" w:eastAsia="monospace" w:cs="monospace"/>
          <w:i w:val="0"/>
          <w:iCs w:val="0"/>
          <w:caps w:val="0"/>
          <w:color w:val="43427C"/>
          <w:spacing w:val="0"/>
          <w:sz w:val="21"/>
          <w:szCs w:val="21"/>
          <w:bdr w:val="none" w:color="auto" w:sz="0" w:space="0"/>
        </w:rPr>
        <w:t>zenodo.123456/dirty_params.yaml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）未说明关键参数（如散射相函数版本）。</w:t>
      </w:r>
    </w:p>
    <w:p w14:paraId="66F091E7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修正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：在README补充参数描述表。</w:t>
      </w:r>
    </w:p>
    <w:p w14:paraId="1A61DC5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073AF4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术语混淆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2A5A31E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</w:p>
    <w:p w14:paraId="77DB999A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“物理驱动元学习”（§3.5）与“对抗域适应”（§3.5.3）概念重叠，建议统一为</w:t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物理约束的域适应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。</w:t>
      </w:r>
    </w:p>
    <w:p w14:paraId="7692CE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</w:pPr>
    </w:p>
    <w:p w14:paraId="763BC3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</w:pPr>
    </w:p>
    <w:p w14:paraId="2C0C5C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olor w:val="43427C"/>
          <w:kern w:val="0"/>
          <w:sz w:val="28"/>
          <w:szCs w:val="28"/>
          <w:u w:val="none"/>
          <w:lang w:val="en-US" w:eastAsia="zh-CN" w:bidi="ar"/>
        </w:rPr>
        <w:t>四、结论性评审意见</w:t>
      </w:r>
    </w:p>
    <w:p w14:paraId="56CC0F8B"/>
    <w:tbl>
      <w:tblPr>
        <w:tblW w:w="432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96"/>
        <w:gridCol w:w="1080"/>
        <w:gridCol w:w="1080"/>
      </w:tblGrid>
      <w:tr w14:paraId="0C604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B38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方面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112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V39改进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E36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待解决问题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1F6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严重性</w:t>
            </w:r>
          </w:p>
        </w:tc>
      </w:tr>
      <w:tr w14:paraId="278CA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8562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方法严谨性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0B8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新增T-matrix校正系数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39E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未整合至核心实验结果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A211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1A00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7AFA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实验设计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2F50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人类实验样本扩大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54C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样本多样性不足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42C7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1B700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</w:trPr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CC12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技术实现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217F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✗ OOD-暂态联动仅理论描述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767F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代码未同步更新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CDC6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1C3CB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9F0E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不确定性量化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831A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✗ OOD外推区间仍不足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F569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未覆盖极端外推场景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C10F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A8CD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B2AB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可复现性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3983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公开DIRTY参数配置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B1BB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关键参数文档缺失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86C2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lvetica" w:hAnsi="Helvetica" w:eastAsia="Helvetica" w:cs="Helvetica"/>
                <w:i w:val="0"/>
                <w:iCs w:val="0"/>
                <w:color w:val="43427C"/>
                <w:sz w:val="24"/>
                <w:szCs w:val="24"/>
                <w:u w:val="none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olor w:val="43427C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2DD9D5D0"/>
    <w:p w14:paraId="7578C0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</w:rPr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决策建议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：</w:t>
      </w:r>
    </w:p>
    <w:p w14:paraId="15F8626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有条件接受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（Conditional Accept），需满足：</w:t>
      </w:r>
    </w:p>
    <w:p w14:paraId="5FBF717E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在性能表中对比球状/非球状PINN结果（表8扩展）。</w:t>
      </w:r>
    </w:p>
    <w:p w14:paraId="49517C30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提供OOD-暂态联动的代码实现（GitHub Issue #142关闭）。</w:t>
      </w:r>
    </w:p>
    <w:p w14:paraId="2DA32A61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43427C"/>
          <w:spacing w:val="0"/>
          <w:sz w:val="24"/>
          <w:szCs w:val="24"/>
          <w:bdr w:val="none" w:color="auto" w:sz="0" w:space="0"/>
        </w:rPr>
        <w:t>修正图表引用与术语一致性。</w:t>
      </w:r>
    </w:p>
    <w:p w14:paraId="57829614"/>
    <w:p w14:paraId="5DC4E877"/>
    <w:p w14:paraId="49895871"/>
    <w:p w14:paraId="4BFDBAD6"/>
    <w:p w14:paraId="78E46BF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/>
          <w:lang w:val="en-US" w:eastAsia="zh-CN"/>
        </w:rPr>
        <w:t>审稿人二的意见：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编号39论文在内容上做了不少有益的补充（如OOD自动CI膨胀机制、对偏振参数的修正建议等），但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关键的排版和格式问题依然存在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，甚至出现了新的错误。作为审稿人，我必须指出这些问题，否则论文无法进入正式发表流程。</w:t>
      </w:r>
    </w:p>
    <w:p w14:paraId="0BA86B4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以下是我逐项审核的结果，按照严重程度排序。</w:t>
      </w:r>
    </w:p>
    <w:p w14:paraId="7B237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8BE3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一、高优先级（必须修正，否则拒稿或要求重投）</w:t>
      </w:r>
    </w:p>
    <w:p w14:paraId="4C6527A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Table 7 仍然严重损坏</w:t>
      </w:r>
    </w:p>
    <w:p w14:paraId="032FD59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在第26页，Table 7的内容完全乱掉：</w:t>
      </w:r>
    </w:p>
    <w:p w14:paraId="138C59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MethodTPR, True Positive Rate (SNR &gt; 3)TPR (SNR &lt; 2)FPR, False Positive Rate (Controls)Flux Error (Controls)mean ± std, N = 5)84 ± 9%31 ± 12%28 ± 8%47 ± 2Means88%41%5%38%Chang et al. 2017)91%58%6%29%d98%78%3%18%</w:t>
      </w:r>
    </w:p>
    <w:p w14:paraId="15D27878">
      <w:pPr>
        <w:rPr>
          <w:rFonts w:hint="default" w:eastAsiaTheme="minorEastAsia"/>
          <w:lang w:val="en-US" w:eastAsia="zh-CN"/>
        </w:rPr>
      </w:pPr>
    </w:p>
    <w:p w14:paraId="6595833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F07BA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0C6EE4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列对齐完全错误，出现了“Chang et al.”、“d98%”等无意义字样。</w:t>
      </w:r>
    </w:p>
    <w:p w14:paraId="70B899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077060C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179F3A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人类参与者的行缺失了方法名称，数据混乱。</w:t>
      </w:r>
    </w:p>
    <w:p w14:paraId="3BD9BB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3B4516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4EE596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表格标题与内容不匹配。</w:t>
      </w:r>
    </w:p>
    <w:p w14:paraId="394822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7A1B94D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：重排表格，确保与之前正确的版本（如37号论文的Table 7）一致。建议使用标准的LaTeX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tabular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环境，明确5列：Method, TPR (SNR&gt;3), TPR (SNR&lt;2), FPR (Controls), Flux Error (SNR&lt;2)。</w:t>
      </w:r>
    </w:p>
    <w:p w14:paraId="386252E4">
      <w:pPr>
        <w:rPr>
          <w:rFonts w:hint="default" w:eastAsiaTheme="minorEastAsia"/>
          <w:lang w:val="en-US" w:eastAsia="zh-CN"/>
        </w:rPr>
      </w:pPr>
    </w:p>
    <w:p w14:paraId="7DFB6E54">
      <w:pPr>
        <w:rPr>
          <w:rFonts w:hint="default" w:eastAsiaTheme="minorEastAsia"/>
          <w:lang w:val="en-US" w:eastAsia="zh-CN"/>
        </w:rPr>
      </w:pPr>
    </w:p>
    <w:p w14:paraId="43C0FF4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第25页“Human vs. Machine”部分出现大段重复内容</w:t>
      </w:r>
    </w:p>
    <w:p w14:paraId="3DDEE17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从第25页开始，以“- Study design: ...”开头的列表项被重复了多次（至少3遍），导致文本严重冗余。例如：</w:t>
      </w:r>
    </w:p>
    <w:p w14:paraId="2977FD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Study design: This is an illustrative plot study ...</w:t>
      </w:r>
    </w:p>
    <w:p w14:paraId="395FD0A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Participant selection: ...</w:t>
      </w:r>
    </w:p>
    <w:p w14:paraId="421C39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Task and materials: ...</w:t>
      </w:r>
    </w:p>
    <w:p w14:paraId="0D99766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Statistical limitations: ...</w:t>
      </w:r>
    </w:p>
    <w:p w14:paraId="6112C3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Table 7 reports the results. ...</w:t>
      </w:r>
    </w:p>
    <w:p w14:paraId="4A5DF0F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Interpretation and limitations: ...</w:t>
      </w:r>
    </w:p>
    <w:p w14:paraId="67E7B14D">
      <w:pPr>
        <w:rPr>
          <w:rFonts w:hint="default" w:eastAsiaTheme="minorEastAsia"/>
          <w:lang w:val="en-US" w:eastAsia="zh-CN"/>
        </w:rPr>
      </w:pPr>
    </w:p>
    <w:p w14:paraId="0D451A81">
      <w:pPr>
        <w:rPr>
          <w:rFonts w:hint="default" w:eastAsiaTheme="minorEastAsia"/>
          <w:lang w:val="en-US" w:eastAsia="zh-CN"/>
        </w:rPr>
      </w:pPr>
    </w:p>
    <w:p w14:paraId="3112316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然后同样的内容又重复了一遍。这是明显的复制粘贴错误。</w:t>
      </w:r>
    </w:p>
    <w:p w14:paraId="6F9EEF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：删除重复的段落，只保留一份完整的内容。</w:t>
      </w:r>
    </w:p>
    <w:p w14:paraId="5923C232">
      <w:pPr>
        <w:rPr>
          <w:rFonts w:hint="default" w:eastAsiaTheme="minorEastAsia"/>
          <w:lang w:val="en-US" w:eastAsia="zh-CN"/>
        </w:rPr>
      </w:pPr>
    </w:p>
    <w:p w14:paraId="3A51A705">
      <w:pPr>
        <w:rPr>
          <w:rFonts w:hint="default" w:eastAsiaTheme="minorEastAsia"/>
          <w:lang w:val="en-US" w:eastAsia="zh-CN"/>
        </w:rPr>
      </w:pPr>
    </w:p>
    <w:p w14:paraId="1FE2E13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第23页笔误：CO/H2O = 15.0</w:t>
      </w:r>
    </w:p>
    <w:p w14:paraId="3CAC2DF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第4.2.5节中写着：“For the extreme composition case (CO/H2O = 15.0 carbonaceous dust)”。根据上下文（Stress Test 5的定义是CO/H2O=5.0），这显然是笔误。应为5.0。</w:t>
      </w:r>
    </w:p>
    <w:p w14:paraId="157FA78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：将15.0改为5.0。</w:t>
      </w:r>
    </w:p>
    <w:p w14:paraId="543990D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章节编号重复：两个“If-Then Observational Guide”</w:t>
      </w:r>
    </w:p>
    <w:p w14:paraId="0FEA2A0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38B0C2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第31页有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5.3. "If- Then" Observational Guide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（下面没有内容，直接跳到了5.4）</w:t>
      </w:r>
    </w:p>
    <w:p w14:paraId="52E94E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1991A91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 w14:paraId="68B7B5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第32页有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5.6. "If-Then" Observational Guide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（下面有完整的指南内容）</w:t>
      </w:r>
    </w:p>
    <w:p w14:paraId="546509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90" w:beforeAutospacing="0" w:after="0" w:afterAutospacing="1"/>
        <w:ind w:left="0" w:hanging="360"/>
      </w:pPr>
    </w:p>
    <w:p w14:paraId="64F78DC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这导致结构混乱。应该删除5.3（或将其作为占位符删除），只保留5.6并重新编号为5.3，后续小节顺延。</w:t>
      </w:r>
    </w:p>
    <w:p w14:paraId="364A94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：重新整理第5章的节号，确保每个标题唯一。</w:t>
      </w:r>
    </w:p>
    <w:p w14:paraId="5E5694BD">
      <w:pPr>
        <w:rPr>
          <w:rFonts w:hint="default" w:eastAsiaTheme="minorEastAsia"/>
          <w:lang w:val="en-US" w:eastAsia="zh-CN"/>
        </w:rPr>
      </w:pPr>
    </w:p>
    <w:p w14:paraId="47F80B3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二、中优先级（建议修改，影响专业性）</w:t>
      </w:r>
    </w:p>
    <w:p w14:paraId="5FB26A7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公式编号仍然混乱</w:t>
      </w:r>
    </w:p>
    <w:p w14:paraId="3B59C1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21B8C3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第10页公式(10)出现了两次（Attention Consistency Loss 和 Multi-Modal Data Fusion 各一个），应改为不同的编号。</w:t>
      </w:r>
    </w:p>
    <w:p w14:paraId="4A7C83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334F7C6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686F45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第10页第二个公式(10)下方的文字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where μ_m and σ_m^2 ...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中混入了无关符号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\sqrt{\mathbf{H}_{ij}^2}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，这显然是排版错误。</w:t>
      </w:r>
    </w:p>
    <w:p w14:paraId="4920DE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0" w:beforeAutospacing="0" w:after="0" w:afterAutospacing="1"/>
        <w:ind w:left="0" w:hanging="360"/>
      </w:pPr>
    </w:p>
    <w:p w14:paraId="459759E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：将Multi-Modal Data Fusion的公式编号改为(11)，并清理公式内的错误符号。</w:t>
      </w:r>
    </w:p>
    <w:p w14:paraId="73E9B52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第4.2.5节中“15.0”以外的笔误</w:t>
      </w:r>
    </w:p>
    <w:p w14:paraId="59BDC08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同一节中还有：“true value of 5.0”是正确的，但前面写成了15.0。另外“CO/H2O = 5.0”在多个地方出现，请统一。</w:t>
      </w:r>
    </w:p>
    <w:p w14:paraId="3EE4788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 Table 10 的“Applicable Condition”列内容不完整</w:t>
      </w:r>
    </w:p>
    <w:p w14:paraId="2C0355F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Table 10中“Detection TPR”的行对应“SNR ≥ 3, any background”，但“Detection FPR”的行对应“Pure-noise control fields”，没有给出SNR条件。建议补充明确。</w:t>
      </w:r>
    </w:p>
    <w:p w14:paraId="4012940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参考文献中仍有“?”占位符</w:t>
      </w:r>
    </w:p>
    <w:p w14:paraId="4B87AAE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第3页第101行：“(Bodewits et al. 2020; ?)” 中的问号应删除或替换为具体引用。</w:t>
      </w:r>
    </w:p>
    <w:p w14:paraId="7AA4B5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9B9C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三、低优先级（可选，但建议优化）</w:t>
      </w:r>
    </w:p>
    <w:p w14:paraId="7A9C731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 第17页 Table 2 中的“2/ Borisov” 应为 “2I/Borisov”</w:t>
      </w:r>
    </w:p>
    <w:p w14:paraId="5A0DA84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第17页表格注释中：“2/ Borisov is correctly classified” – 缺少了“I”，应为“2I/Borisov”。</w:t>
      </w:r>
    </w:p>
    <w:p w14:paraId="7C71E22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10. 第17页自动CI膨胀机制的描述中，公式(10)引用错误</w:t>
      </w:r>
    </w:p>
    <w:p w14:paraId="50506C4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文中提到“自动置信区间膨胀机制”，但公式编号引用了(10)，而(10)已被占用。建议改为新编号。</w:t>
      </w:r>
    </w:p>
    <w:p w14:paraId="64BF313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11. 第38页数据可用性部分，GitHub链接和Zenodo占位符仍存在</w:t>
      </w:r>
    </w:p>
    <w:p w14:paraId="67B14F5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虽然作者已注明“private during peer review; anonymous access link will be provided via the AAS manuscript submission system”，这是可以接受的。但建议在最终提交前确认该流程。</w:t>
      </w:r>
    </w:p>
    <w:p w14:paraId="4CF4F8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705F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四、总结与推荐</w:t>
      </w:r>
    </w:p>
    <w:p w14:paraId="51A5ABE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编号39论文在科学内容和创新性上已经非常出色，新增的OOD自动CI膨胀、偏振参数修正建议等很有价值。然而，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当前版本存在严重的排版错误（Table 7、重复段落、笔误、章节编号混乱）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，这些错误会直接导致审稿人拒绝或要求重大修改。</w:t>
      </w:r>
    </w:p>
    <w:p w14:paraId="43406C7B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最终推荐：大修（Major Revision）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，必须在重新提交前修正以下问题：</w:t>
      </w:r>
    </w:p>
    <w:p w14:paraId="4AAA65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640" w:leftChars="0" w:hanging="420" w:firstLineChars="0"/>
        <w:rPr>
          <w:rFonts w:hint="eastAsia"/>
        </w:rPr>
      </w:pPr>
      <w:r>
        <w:rPr>
          <w:rFonts w:hint="eastAsia"/>
        </w:rPr>
        <w:t>修复Table 7排版。</w:t>
      </w:r>
    </w:p>
    <w:p w14:paraId="177AB4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640" w:leftChars="0" w:hanging="420" w:firstLineChars="0"/>
        <w:rPr>
          <w:rFonts w:hint="eastAsia"/>
        </w:rPr>
      </w:pPr>
      <w:r>
        <w:rPr>
          <w:rFonts w:hint="eastAsia"/>
        </w:rPr>
        <w:t>删除第25页重复段落。</w:t>
      </w:r>
    </w:p>
    <w:p w14:paraId="30B6F82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640" w:leftChars="0" w:hanging="420" w:firstLineChars="0"/>
        <w:rPr>
          <w:rFonts w:hint="eastAsia"/>
        </w:rPr>
      </w:pPr>
      <w:r>
        <w:rPr>
          <w:rFonts w:hint="eastAsia"/>
        </w:rPr>
        <w:t>将第23页的“15.0”改为“5.0”。</w:t>
      </w:r>
    </w:p>
    <w:p w14:paraId="2AF8F4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640" w:leftChars="0" w:hanging="420" w:firstLineChars="0"/>
        <w:rPr>
          <w:rFonts w:hint="eastAsia"/>
        </w:rPr>
      </w:pPr>
      <w:r>
        <w:rPr>
          <w:rFonts w:hint="eastAsia"/>
        </w:rPr>
        <w:t>删除重复的“If-Then”小节，重新编号第5章。</w:t>
      </w:r>
    </w:p>
    <w:p w14:paraId="0934AC6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640" w:leftChars="0" w:hanging="420" w:firstLineChars="0"/>
        <w:rPr>
          <w:rFonts w:hint="eastAsia"/>
        </w:rPr>
      </w:pPr>
      <w:r>
        <w:rPr>
          <w:rFonts w:hint="eastAsia"/>
        </w:rPr>
        <w:t>修复公式编号冲突和公式内的错误符号。</w:t>
      </w:r>
    </w:p>
    <w:p w14:paraId="18ADD2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90" w:beforeAutospacing="0" w:after="0" w:afterAutospacing="1"/>
        <w:ind w:left="640" w:leftChars="0" w:hanging="420" w:firstLineChars="0"/>
      </w:pPr>
      <w:r>
        <w:rPr>
          <w:rFonts w:hint="eastAsia"/>
        </w:rPr>
        <w:t>删除参考文献中的“?”。</w:t>
      </w:r>
    </w:p>
    <w:p w14:paraId="674E321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完成这些修正后，论文可达到ApJ的发表标准。</w:t>
      </w:r>
    </w:p>
    <w:p w14:paraId="21167CBB">
      <w:pPr>
        <w:rPr>
          <w:rFonts w:hint="default" w:eastAsiaTheme="minorEastAsia"/>
          <w:lang w:val="en-US" w:eastAsia="zh-CN"/>
        </w:rPr>
      </w:pPr>
    </w:p>
    <w:p w14:paraId="45139EE8">
      <w:pPr>
        <w:rPr>
          <w:rFonts w:hint="default" w:eastAsiaTheme="minorEastAsia"/>
          <w:lang w:val="en-US" w:eastAsia="zh-CN"/>
        </w:rPr>
      </w:pPr>
    </w:p>
    <w:p w14:paraId="76511332">
      <w:pPr>
        <w:rPr>
          <w:rFonts w:hint="default" w:eastAsiaTheme="minorEastAsia"/>
          <w:lang w:val="en-US" w:eastAsia="zh-CN"/>
        </w:rPr>
      </w:pPr>
    </w:p>
    <w:p w14:paraId="5339013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五：全文稍微去除一些</w:t>
      </w:r>
      <w:bookmarkStart w:id="0" w:name="_GoBack"/>
      <w:bookmarkEnd w:id="0"/>
      <w:r>
        <w:rPr>
          <w:rFonts w:hint="eastAsia"/>
          <w:lang w:val="en-US" w:eastAsia="zh-CN"/>
        </w:rPr>
        <w:t>机器味</w:t>
      </w:r>
    </w:p>
    <w:p w14:paraId="49A8CB61">
      <w:pPr>
        <w:rPr>
          <w:rFonts w:hint="eastAsia"/>
          <w:lang w:val="en-US" w:eastAsia="zh-CN"/>
        </w:rPr>
      </w:pPr>
    </w:p>
    <w:p w14:paraId="77F060F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ECF57"/>
    <w:multiLevelType w:val="multilevel"/>
    <w:tmpl w:val="8A8EC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1081ED"/>
    <w:multiLevelType w:val="multilevel"/>
    <w:tmpl w:val="931081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EF9546"/>
    <w:multiLevelType w:val="multilevel"/>
    <w:tmpl w:val="95EF95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32A94AF"/>
    <w:multiLevelType w:val="multilevel"/>
    <w:tmpl w:val="A32A9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7DE8C3B"/>
    <w:multiLevelType w:val="multilevel"/>
    <w:tmpl w:val="A7DE8C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AD04D70"/>
    <w:multiLevelType w:val="multilevel"/>
    <w:tmpl w:val="AAD04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A6298FA"/>
    <w:multiLevelType w:val="singleLevel"/>
    <w:tmpl w:val="DA6298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9969A2B"/>
    <w:multiLevelType w:val="multilevel"/>
    <w:tmpl w:val="29969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67F9C20"/>
    <w:multiLevelType w:val="multilevel"/>
    <w:tmpl w:val="367F9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B2C32AB"/>
    <w:multiLevelType w:val="multilevel"/>
    <w:tmpl w:val="6B2C3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C20D608"/>
    <w:multiLevelType w:val="multilevel"/>
    <w:tmpl w:val="6C20D6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3"/>
  </w:num>
  <w:num w:numId="11">
    <w:abstractNumId w:val="4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1"/>
  </w:num>
  <w:num w:numId="17">
    <w:abstractNumId w:val="10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3695F"/>
    <w:rsid w:val="1F5E41C7"/>
    <w:rsid w:val="21A32FB0"/>
    <w:rsid w:val="242C61E4"/>
    <w:rsid w:val="39E32695"/>
    <w:rsid w:val="64E3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2026-05-17T06:08:00Z</dcterms:created>
  <dc:creator>陈智磊</dc:creator>
  <cp:lastModifiedBy>陈智磊</cp:lastModifiedBy>
  <dcterms:modified xsi:type="dcterms:W3CDTF">2026-05-17T06:18:37Z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D944E9FDF7DC46C788A3554153F8622A_11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