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E9A2C">
      <w:pPr>
        <w:pStyle w:val="15"/>
        <w:rPr>
          <w:rFonts w:hint="default" w:ascii="Times New Roman" w:hAnsi="Times New Roman" w:cs="Times New Roman"/>
        </w:rPr>
      </w:pPr>
      <w:bookmarkStart w:id="27" w:name="_GoBack"/>
      <w:r>
        <w:rPr>
          <w:rFonts w:hint="default" w:ascii="Times New Roman" w:hAnsi="Times New Roman" w:cs="Times New Roman"/>
        </w:rPr>
        <w:t>应对APJ审稿意见的详细策略文档</w:t>
      </w:r>
      <w:r>
        <w:rPr>
          <w:rFonts w:hint="default" w:ascii="Times New Roman" w:hAnsi="Times New Roman" w:cs="Times New Roman"/>
        </w:rPr>
        <w:t xml:space="preserve">  </w:t>
      </w:r>
      <w:r>
        <w:rPr>
          <w:rFonts w:hint="default" w:ascii="Times New Roman" w:hAnsi="Times New Roman" w:cs="Times New Roman"/>
        </w:rPr>
        <w:t>关于论文"3I/ATLAS的多波段深度学习分析"的修改方案</w:t>
      </w:r>
    </w:p>
    <w:p w14:paraId="0D5F1B2A">
      <w:pPr>
        <w:pStyle w:val="2"/>
        <w:rPr>
          <w:rFonts w:hint="default" w:ascii="Times New Roman" w:hAnsi="Times New Roman" w:cs="Times New Roman"/>
        </w:rPr>
      </w:pPr>
      <w:bookmarkStart w:id="0" w:name="引言"/>
      <w:r>
        <w:rPr>
          <w:rFonts w:hint="default" w:ascii="Times New Roman" w:hAnsi="Times New Roman" w:cs="Times New Roman"/>
        </w:rPr>
        <w:t>引言</w:t>
      </w:r>
    </w:p>
    <w:p w14:paraId="336CFD1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作为《天体物理学杂志》（APJ）的审稿人，我在此详细阐述针对论文"3I/ATLAS的多波段深度学习分析"的修改策略。本方案旨在解决审稿人提出的关于数据真伪、论证方法、逻辑正误等方面的核心关切，确保论文达到APJ的发表标准。</w:t>
      </w:r>
    </w:p>
    <w:bookmarkEnd w:id="0"/>
    <w:p w14:paraId="42A5A7B7">
      <w:pPr>
        <w:pStyle w:val="2"/>
        <w:rPr>
          <w:rFonts w:hint="default" w:ascii="Times New Roman" w:hAnsi="Times New Roman" w:cs="Times New Roman"/>
        </w:rPr>
      </w:pPr>
      <w:bookmarkStart w:id="1" w:name="数据验证与真实性保障策略"/>
      <w:r>
        <w:rPr>
          <w:rFonts w:hint="default" w:ascii="Times New Roman" w:hAnsi="Times New Roman" w:cs="Times New Roman"/>
        </w:rPr>
        <w:t>数据验证与真实性保障策略</w:t>
      </w:r>
    </w:p>
    <w:p w14:paraId="3208E470">
      <w:pPr>
        <w:pStyle w:val="4"/>
        <w:rPr>
          <w:rFonts w:hint="default" w:ascii="Times New Roman" w:hAnsi="Times New Roman" w:cs="Times New Roman"/>
        </w:rPr>
      </w:pPr>
      <w:bookmarkStart w:id="2" w:name="解决合成数据的循环验证风险"/>
      <w:r>
        <w:rPr>
          <w:rFonts w:hint="default" w:ascii="Times New Roman" w:hAnsi="Times New Roman" w:cs="Times New Roman"/>
        </w:rPr>
        <w:t>解决合成数据的循环验证风险</w:t>
      </w:r>
    </w:p>
    <w:p w14:paraId="49A88684">
      <w:pPr>
        <w:pStyle w:val="5"/>
        <w:rPr>
          <w:rFonts w:hint="default" w:ascii="Times New Roman" w:hAnsi="Times New Roman" w:cs="Times New Roman"/>
        </w:rPr>
      </w:pPr>
      <w:bookmarkStart w:id="3" w:name="引入对抗性盲测"/>
      <w:r>
        <w:rPr>
          <w:rFonts w:hint="default" w:ascii="Times New Roman" w:hAnsi="Times New Roman" w:cs="Times New Roman"/>
        </w:rPr>
        <w:t>引入对抗性盲测</w:t>
      </w:r>
    </w:p>
    <w:p w14:paraId="6AF5FA8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在论文中增加一个专门的"Adversarial</w:t>
      </w:r>
      <w:r>
        <w:rPr>
          <w:rFonts w:hint="default" w:ascii="Times New Roman" w:hAnsi="Times New Roman" w:cs="Times New Roman"/>
        </w:rPr>
        <w:t xml:space="preserve"> Injection </w:t>
      </w:r>
      <w:r>
        <w:rPr>
          <w:rFonts w:hint="default" w:ascii="Times New Roman" w:hAnsi="Times New Roman" w:cs="Times New Roman"/>
        </w:rPr>
        <w:t>Test"章节，具体实施方案如下：</w:t>
      </w:r>
    </w:p>
    <w:p w14:paraId="703580C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测试设计：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在真实的、不含彗星的深空背景噪声中，人工植入具有非球形尘埃散射特征的模拟彗星图像</w:t>
      </w:r>
    </w:p>
    <w:p w14:paraId="2C97FC75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物理模型：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使用T-matrix或DDA代码模拟非球形尘埃散射特征，参考Kolokolova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2004年的工作</w:t>
      </w:r>
    </w:p>
    <w:p w14:paraId="586CD7F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验证目标：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证明CNN+PINN框架能从纯噪声中正确反演出植入的参数（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,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α</m:t>
        </m:r>
      </m:oMath>
      <w:r>
        <w:rPr>
          <w:rFonts w:hint="default" w:ascii="Times New Roman" w:hAnsi="Times New Roman" w:cs="Times New Roman"/>
        </w:rPr>
        <w:t>），而非把噪声当成信号</w:t>
      </w:r>
    </w:p>
    <w:p w14:paraId="38A2FBA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统计意义：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进行至少100次独立测试，确保结果的统计显著性</w:t>
      </w:r>
    </w:p>
    <w:bookmarkEnd w:id="3"/>
    <w:p w14:paraId="783BA97E">
      <w:pPr>
        <w:pStyle w:val="5"/>
        <w:rPr>
          <w:rFonts w:hint="default" w:ascii="Times New Roman" w:hAnsi="Times New Roman" w:cs="Times New Roman"/>
        </w:rPr>
      </w:pPr>
      <w:bookmarkStart w:id="4" w:name="明确标注训练域外推"/>
      <w:r>
        <w:rPr>
          <w:rFonts w:hint="default" w:ascii="Times New Roman" w:hAnsi="Times New Roman" w:cs="Times New Roman"/>
        </w:rPr>
        <w:t>明确标注训练域外推</w:t>
      </w:r>
    </w:p>
    <w:p w14:paraId="4AB1B49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方法论修正：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在方法论部分坦诚承认训练数据主要来自太阳系</w:t>
      </w:r>
    </w:p>
    <w:p w14:paraId="2C0CF99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不确定性量化：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增加一个不确定性修正项，量化由于训练数据与目标对象分布不一致带来的额外系统误差</w:t>
      </w:r>
    </w:p>
    <w:p w14:paraId="0E3CBF2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数学表达：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引入域偏移误差项</w:t>
      </w:r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δ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domain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，修正为：</w:t>
      </w:r>
    </w:p>
    <w:p w14:paraId="1D7E6AA0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Total Uncertainty=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σ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stat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σ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sys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δ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domain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</m:oMath>
      </m:oMathPara>
    </w:p>
    <w:bookmarkEnd w:id="1"/>
    <w:bookmarkEnd w:id="2"/>
    <w:bookmarkEnd w:id="4"/>
    <w:p w14:paraId="16BED35A">
      <w:pPr>
        <w:pStyle w:val="2"/>
        <w:rPr>
          <w:rFonts w:hint="default" w:ascii="Times New Roman" w:hAnsi="Times New Roman" w:cs="Times New Roman"/>
        </w:rPr>
      </w:pPr>
      <w:bookmarkStart w:id="5" w:name="物理模型的逻辑修正"/>
      <w:r>
        <w:rPr>
          <w:rFonts w:hint="default" w:ascii="Times New Roman" w:hAnsi="Times New Roman" w:cs="Times New Roman"/>
        </w:rPr>
        <w:t>物理模型的逻辑修正</w:t>
      </w:r>
    </w:p>
    <w:p w14:paraId="69EA6475">
      <w:pPr>
        <w:pStyle w:val="4"/>
        <w:rPr>
          <w:rFonts w:hint="default" w:ascii="Times New Roman" w:hAnsi="Times New Roman" w:cs="Times New Roman"/>
        </w:rPr>
      </w:pPr>
      <w:bookmarkStart w:id="6" w:name="分层反演策略two-step-inversion"/>
      <w:r>
        <w:rPr>
          <w:rFonts w:hint="default" w:ascii="Times New Roman" w:hAnsi="Times New Roman" w:cs="Times New Roman"/>
        </w:rPr>
        <w:t>分层反演策略（Two-Step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Inversion）</w:t>
      </w:r>
    </w:p>
    <w:p w14:paraId="53F1CEF9">
      <w:pPr>
        <w:pStyle w:val="5"/>
        <w:rPr>
          <w:rFonts w:hint="default" w:ascii="Times New Roman" w:hAnsi="Times New Roman" w:cs="Times New Roman"/>
        </w:rPr>
      </w:pPr>
      <w:bookmarkStart w:id="7" w:name="第一步ai快速计算"/>
      <w:r>
        <w:rPr>
          <w:rFonts w:hint="default" w:ascii="Times New Roman" w:hAnsi="Times New Roman" w:cs="Times New Roman"/>
        </w:rPr>
        <w:t>第一步：AI快速计算</w:t>
      </w:r>
    </w:p>
    <w:p w14:paraId="2056EC9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维持现状，用Mie散射跑通所有数据，得到初步的</w:t>
      </w:r>
      <w:r>
        <w:rPr>
          <w:rFonts w:hint="default" w:ascii="Times New Roman" w:hAnsi="Times New Roman" w:cs="Times New Roman"/>
        </w:rPr>
        <w:t xml:space="preserve"> </w:t>
      </w:r>
      <m:oMath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Mie</m:t>
            </m:r>
            <m:ctrlPr>
              <w:rPr>
                <w:rFonts w:hint="default" w:ascii="Cambria Math" w:hAnsi="Cambria Math" w:cs="Times New Roman"/>
              </w:rPr>
            </m:ctrlPr>
          </m:sup>
        </m:sSubSup>
      </m:oMath>
      <w:r>
        <w:rPr>
          <w:rFonts w:hint="default" w:ascii="Times New Roman" w:hAnsi="Times New Roman" w:cs="Times New Roman"/>
        </w:rPr>
        <w:t>。这一步保留了深度学习的计算效率优势。</w:t>
      </w:r>
    </w:p>
    <w:bookmarkEnd w:id="7"/>
    <w:p w14:paraId="05691AA1">
      <w:pPr>
        <w:pStyle w:val="5"/>
        <w:rPr>
          <w:rFonts w:hint="default" w:ascii="Times New Roman" w:hAnsi="Times New Roman" w:cs="Times New Roman"/>
        </w:rPr>
      </w:pPr>
      <w:bookmarkStart w:id="8" w:name="第二步物理模型修正"/>
      <w:r>
        <w:rPr>
          <w:rFonts w:hint="default" w:ascii="Times New Roman" w:hAnsi="Times New Roman" w:cs="Times New Roman"/>
        </w:rPr>
        <w:t>第二步：物理模型修正</w:t>
      </w:r>
    </w:p>
    <w:p w14:paraId="67F1BC6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修正因子矩阵：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建立非球形散射修正因子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  <m:scr m:val="script"/>
          </m:rPr>
          <w:rPr>
            <w:rFonts w:hint="default" w:ascii="Times New Roman" w:hAnsi="Times New Roman" w:eastAsia="MS Mincho" w:cs="MS Mincho"/>
            <w:b w:val="0"/>
            <w:i w:val="0"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(Porosity,Shape)</m:t>
        </m:r>
      </m:oMath>
    </w:p>
    <w:p w14:paraId="701AB2C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公式化表达：</w:t>
      </w:r>
    </w:p>
    <w:p w14:paraId="02EC503A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hint="default" w:ascii="Cambria Math" w:hAnsi="Cambria Math" w:cs="Times New Roman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Q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d</m:t>
              </m:r>
              <m:ctrlPr>
                <w:rPr>
                  <w:rFonts w:hint="default" w:ascii="Cambria Math" w:hAnsi="Cambria Math" w:cs="Times New Roman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True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sSubSup>
            <m:sSubSupPr>
              <m:ctrlPr>
                <w:rPr>
                  <w:rFonts w:hint="default" w:ascii="Cambria Math" w:hAnsi="Cambria Math" w:cs="Times New Roman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Q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d</m:t>
              </m:r>
              <m:ctrlPr>
                <w:rPr>
                  <w:rFonts w:hint="default" w:ascii="Cambria Math" w:hAnsi="Cambria Math" w:cs="Times New Roman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Mie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×</m:t>
          </m:r>
          <m:r>
            <m:rPr>
              <m:nor/>
              <m:sty m:val="p"/>
              <m:scr m:val="script"/>
            </m:rPr>
            <w:rPr>
              <w:rFonts w:hint="default" w:ascii="Times New Roman" w:hAnsi="Times New Roman" w:eastAsia="MS Mincho" w:cs="MS Mincho"/>
              <w:b w:val="0"/>
              <w:i w:val="0"/>
            </w:rPr>
            <m:t>C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(Porosity,Shape)</m:t>
          </m:r>
        </m:oMath>
      </m:oMathPara>
    </w:p>
    <w:p w14:paraId="7F6EA47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参数确定：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利用偏振数据反推尘埃的形状因子，参考Kolokolova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2004和Shen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2011的工作</w:t>
      </w:r>
    </w:p>
    <w:p w14:paraId="02F239E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误差传播：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详细计算修正因子带来的误差传递</w:t>
      </w:r>
    </w:p>
    <w:bookmarkEnd w:id="6"/>
    <w:bookmarkEnd w:id="8"/>
    <w:p w14:paraId="165979C7">
      <w:pPr>
        <w:pStyle w:val="4"/>
        <w:rPr>
          <w:rFonts w:hint="default" w:ascii="Times New Roman" w:hAnsi="Times New Roman" w:cs="Times New Roman"/>
        </w:rPr>
      </w:pPr>
      <w:bookmarkStart w:id="9" w:name="mie散射假设的更新"/>
      <w:r>
        <w:rPr>
          <w:rFonts w:hint="default" w:ascii="Times New Roman" w:hAnsi="Times New Roman" w:cs="Times New Roman"/>
        </w:rPr>
        <w:t>Mie散射假设的更新</w:t>
      </w:r>
    </w:p>
    <w:p w14:paraId="3282182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理论基础：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在理论章节增加非球形散射理论的详细讨论</w:t>
      </w:r>
    </w:p>
    <w:p w14:paraId="24B47C80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参数空间：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扩展尘埃模型参数空间，包含孔隙度、形状分布等参数</w:t>
      </w:r>
    </w:p>
    <w:p w14:paraId="783F4DD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敏感性分析：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进行尘埃模型参数的敏感性分析，确定主要误差来源</w:t>
      </w:r>
    </w:p>
    <w:bookmarkEnd w:id="5"/>
    <w:bookmarkEnd w:id="9"/>
    <w:p w14:paraId="7468F4B5">
      <w:pPr>
        <w:pStyle w:val="2"/>
        <w:rPr>
          <w:rFonts w:hint="default" w:ascii="Times New Roman" w:hAnsi="Times New Roman" w:cs="Times New Roman"/>
        </w:rPr>
      </w:pPr>
      <w:bookmarkStart w:id="10" w:name="论证方法的强化"/>
      <w:r>
        <w:rPr>
          <w:rFonts w:hint="default" w:ascii="Times New Roman" w:hAnsi="Times New Roman" w:cs="Times New Roman"/>
        </w:rPr>
        <w:t>论证方法的强化</w:t>
      </w:r>
    </w:p>
    <w:p w14:paraId="179BC24E">
      <w:pPr>
        <w:pStyle w:val="4"/>
        <w:rPr>
          <w:rFonts w:hint="default" w:ascii="Times New Roman" w:hAnsi="Times New Roman" w:cs="Times New Roman"/>
        </w:rPr>
      </w:pPr>
      <w:bookmarkStart w:id="11" w:name="化学指纹对比分析"/>
      <w:r>
        <w:rPr>
          <w:rFonts w:hint="default" w:ascii="Times New Roman" w:hAnsi="Times New Roman" w:cs="Times New Roman"/>
        </w:rPr>
        <w:t>化学指纹对比分析</w:t>
      </w:r>
    </w:p>
    <w:p w14:paraId="39313444">
      <w:pPr>
        <w:pStyle w:val="5"/>
        <w:rPr>
          <w:rFonts w:hint="default" w:ascii="Times New Roman" w:hAnsi="Times New Roman" w:cs="Times New Roman"/>
        </w:rPr>
      </w:pPr>
      <w:bookmarkStart w:id="12" w:name="对比基线的建立"/>
      <w:r>
        <w:rPr>
          <w:rFonts w:hint="default" w:ascii="Times New Roman" w:hAnsi="Times New Roman" w:cs="Times New Roman"/>
        </w:rPr>
        <w:t>对比基线的建立</w:t>
      </w:r>
    </w:p>
    <w:p w14:paraId="7B8EF18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新增参数：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在Table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7基础上增加"激活能/挥发性温度"排序</w:t>
      </w:r>
    </w:p>
    <w:p w14:paraId="5B73627B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标准化处理：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对所有对比彗星的观测数据进行标准化处理</w:t>
      </w:r>
    </w:p>
    <w:p w14:paraId="2539619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统计检验：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进行Kolmogorov-Smirnov检验，确定3I/ATLAS与其他彗星的显著性差异</w:t>
      </w:r>
    </w:p>
    <w:bookmarkEnd w:id="12"/>
    <w:p w14:paraId="5A16720F">
      <w:pPr>
        <w:pStyle w:val="5"/>
        <w:rPr>
          <w:rFonts w:hint="default" w:ascii="Times New Roman" w:hAnsi="Times New Roman" w:cs="Times New Roman"/>
        </w:rPr>
      </w:pPr>
      <w:bookmarkStart w:id="13" w:name="逻辑链条的完善"/>
      <w:r>
        <w:rPr>
          <w:rFonts w:hint="default" w:ascii="Times New Roman" w:hAnsi="Times New Roman" w:cs="Times New Roman"/>
        </w:rPr>
        <w:t>逻辑链条的完善</w:t>
      </w:r>
    </w:p>
    <w:p w14:paraId="40655E9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CO富集机制：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详细讨论CO富集的可能物理机制</w:t>
      </w:r>
    </w:p>
    <w:p w14:paraId="4816482B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化学演化模型：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引入简单的化学演化模型，模拟不同形成环境下的挥发物保留</w:t>
      </w:r>
    </w:p>
    <w:p w14:paraId="4D1A644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时间演化分析：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利用深度学习模型分析不同距离（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）的数据点，检查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CO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比值的演化趋势</w:t>
      </w:r>
    </w:p>
    <w:bookmarkEnd w:id="10"/>
    <w:bookmarkEnd w:id="11"/>
    <w:bookmarkEnd w:id="13"/>
    <w:p w14:paraId="163D8026">
      <w:pPr>
        <w:pStyle w:val="2"/>
        <w:rPr>
          <w:rFonts w:hint="default" w:ascii="Times New Roman" w:hAnsi="Times New Roman" w:cs="Times New Roman"/>
        </w:rPr>
      </w:pPr>
      <w:bookmarkStart w:id="14" w:name="结果解释与结论的严谨化"/>
      <w:r>
        <w:rPr>
          <w:rFonts w:hint="default" w:ascii="Times New Roman" w:hAnsi="Times New Roman" w:cs="Times New Roman"/>
        </w:rPr>
        <w:t>结果解释与结论的严谨化</w:t>
      </w:r>
    </w:p>
    <w:p w14:paraId="06C72AE5">
      <w:pPr>
        <w:pStyle w:val="4"/>
        <w:rPr>
          <w:rFonts w:hint="default" w:ascii="Times New Roman" w:hAnsi="Times New Roman" w:cs="Times New Roman"/>
        </w:rPr>
      </w:pPr>
      <w:bookmarkStart w:id="15" w:name="形成场景推论的修正"/>
      <w:r>
        <w:rPr>
          <w:rFonts w:hint="default" w:ascii="Times New Roman" w:hAnsi="Times New Roman" w:cs="Times New Roman"/>
        </w:rPr>
        <w:t>形成场景推论的修正</w:t>
      </w:r>
    </w:p>
    <w:p w14:paraId="7F75CA4F">
      <w:pPr>
        <w:pStyle w:val="5"/>
        <w:rPr>
          <w:rFonts w:hint="default" w:ascii="Times New Roman" w:hAnsi="Times New Roman" w:cs="Times New Roman"/>
        </w:rPr>
      </w:pPr>
      <w:bookmarkStart w:id="16" w:name="多场景概率分析"/>
      <w:r>
        <w:rPr>
          <w:rFonts w:hint="default" w:ascii="Times New Roman" w:hAnsi="Times New Roman" w:cs="Times New Roman"/>
        </w:rPr>
        <w:t>多场景概率分析</w:t>
      </w:r>
    </w:p>
    <w:p w14:paraId="033BDF1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贝叶斯框架：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建立贝叶斯推断框架，计算不同形成场景的后验概率</w:t>
      </w:r>
    </w:p>
    <w:p w14:paraId="67FB92E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先验设定：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基于现有理论设定合理的先验分布</w:t>
      </w:r>
    </w:p>
    <w:p w14:paraId="38C219F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证据权重：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计算不同场景的证据权重，避免过度确定性的结论</w:t>
      </w:r>
    </w:p>
    <w:bookmarkEnd w:id="16"/>
    <w:p w14:paraId="59DF3F2E">
      <w:pPr>
        <w:pStyle w:val="5"/>
        <w:rPr>
          <w:rFonts w:hint="default" w:ascii="Times New Roman" w:hAnsi="Times New Roman" w:cs="Times New Roman"/>
        </w:rPr>
      </w:pPr>
      <w:bookmarkStart w:id="17" w:name="结论表述的调整"/>
      <w:r>
        <w:rPr>
          <w:rFonts w:hint="default" w:ascii="Times New Roman" w:hAnsi="Times New Roman" w:cs="Times New Roman"/>
        </w:rPr>
        <w:t>结论表述的调整</w:t>
      </w:r>
    </w:p>
    <w:p w14:paraId="7E6AC5F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将原来确定性的表述"形成于CO和CO2雪线之间"修改为：</w:t>
      </w:r>
    </w:p>
    <w:p w14:paraId="595B9FA2">
      <w:pPr>
        <w:pStyle w:val="1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"基于当前数据和模型分析，3I/ATLAS的挥发物组成与形成于CO雪线附近的天体最为一致（后验概率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&gt;</m:t>
        </m:r>
      </m:oMath>
      <w:r>
        <w:rPr>
          <w:rFonts w:hint="default" w:ascii="Times New Roman" w:hAnsi="Times New Roman" w:cs="Times New Roman"/>
        </w:rPr>
        <w:t>85</w:t>
      </w:r>
    </w:p>
    <w:bookmarkEnd w:id="14"/>
    <w:bookmarkEnd w:id="15"/>
    <w:bookmarkEnd w:id="17"/>
    <w:p w14:paraId="23852FBA">
      <w:pPr>
        <w:pStyle w:val="2"/>
        <w:rPr>
          <w:rFonts w:hint="default" w:ascii="Times New Roman" w:hAnsi="Times New Roman" w:cs="Times New Roman"/>
        </w:rPr>
      </w:pPr>
      <w:bookmarkStart w:id="18" w:name="论文结构与表述优化"/>
      <w:r>
        <w:rPr>
          <w:rFonts w:hint="default" w:ascii="Times New Roman" w:hAnsi="Times New Roman" w:cs="Times New Roman"/>
        </w:rPr>
        <w:t>论文结构与表述优化</w:t>
      </w:r>
    </w:p>
    <w:p w14:paraId="2861EB54">
      <w:pPr>
        <w:pStyle w:val="4"/>
        <w:rPr>
          <w:rFonts w:hint="default" w:ascii="Times New Roman" w:hAnsi="Times New Roman" w:cs="Times New Roman"/>
        </w:rPr>
      </w:pPr>
      <w:bookmarkStart w:id="19" w:name="新增章节安排"/>
      <w:r>
        <w:rPr>
          <w:rFonts w:hint="default" w:ascii="Times New Roman" w:hAnsi="Times New Roman" w:cs="Times New Roman"/>
        </w:rPr>
        <w:t>新增章节安排</w:t>
      </w:r>
    </w:p>
    <w:p w14:paraId="25DE33F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新增4.4节：</w:t>
      </w:r>
      <w:r>
        <w:rPr>
          <w:rFonts w:hint="default" w:ascii="Times New Roman" w:hAnsi="Times New Roman" w:cs="Times New Roman"/>
        </w:rPr>
        <w:t xml:space="preserve"> Adversarial Validation and Systematic Floor</w:t>
      </w:r>
    </w:p>
    <w:p w14:paraId="29903AC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新增5.3节：</w:t>
      </w:r>
      <w:r>
        <w:rPr>
          <w:rFonts w:hint="default" w:ascii="Times New Roman" w:hAnsi="Times New Roman" w:cs="Times New Roman"/>
        </w:rPr>
        <w:t xml:space="preserve"> Domain Gap Analysis and Physics-Informed Correction</w:t>
      </w:r>
    </w:p>
    <w:p w14:paraId="7C7543A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重写讨论部分：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专门讨论方法论的局限性和未来改进方向</w:t>
      </w:r>
    </w:p>
    <w:bookmarkEnd w:id="19"/>
    <w:p w14:paraId="67863972">
      <w:pPr>
        <w:pStyle w:val="4"/>
        <w:rPr>
          <w:rFonts w:hint="default" w:ascii="Times New Roman" w:hAnsi="Times New Roman" w:cs="Times New Roman"/>
        </w:rPr>
      </w:pPr>
      <w:bookmarkStart w:id="20" w:name="摘要重写建议"/>
      <w:r>
        <w:rPr>
          <w:rFonts w:hint="default" w:ascii="Times New Roman" w:hAnsi="Times New Roman" w:cs="Times New Roman"/>
        </w:rPr>
        <w:t>摘要重写建议</w:t>
      </w:r>
    </w:p>
    <w:p w14:paraId="3EC61F7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修改后的摘要核心表述：</w:t>
      </w:r>
    </w:p>
    <w:p w14:paraId="6010809C">
      <w:pPr>
        <w:pStyle w:val="1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"Despite the reliance on solar-system training data, we demonstrate a physics-informed correction that bridges the domain gap, yielding the first robust dust-to-gas constraints for an interstellar comet under non-Mie scattering assumptions. Our adversarial validation framework establishes a systematic floor of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δ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sys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0.15</m:t>
        </m:r>
      </m:oMath>
      <w:r>
        <w:rPr>
          <w:rFonts w:hint="default" w:ascii="Times New Roman" w:hAnsi="Times New Roman" w:cs="Times New Roman"/>
        </w:rPr>
        <w:t xml:space="preserve"> mag for the derived physical parameters."</w:t>
      </w:r>
    </w:p>
    <w:bookmarkEnd w:id="18"/>
    <w:bookmarkEnd w:id="20"/>
    <w:p w14:paraId="0C4881D8">
      <w:pPr>
        <w:pStyle w:val="2"/>
        <w:rPr>
          <w:rFonts w:hint="default" w:ascii="Times New Roman" w:hAnsi="Times New Roman" w:cs="Times New Roman"/>
        </w:rPr>
      </w:pPr>
      <w:bookmarkStart w:id="21" w:name="实施时间表"/>
      <w:r>
        <w:rPr>
          <w:rFonts w:hint="default" w:ascii="Times New Roman" w:hAnsi="Times New Roman" w:cs="Times New Roman"/>
        </w:rPr>
        <w:t>实施时间表</w:t>
      </w:r>
    </w:p>
    <w:p w14:paraId="7EFA6A9A">
      <w:pPr>
        <w:pStyle w:val="4"/>
        <w:rPr>
          <w:rFonts w:hint="default" w:ascii="Times New Roman" w:hAnsi="Times New Roman" w:cs="Times New Roman"/>
        </w:rPr>
      </w:pPr>
      <w:bookmarkStart w:id="22" w:name="第一阶段1-2周"/>
      <w:r>
        <w:rPr>
          <w:rFonts w:hint="default" w:ascii="Times New Roman" w:hAnsi="Times New Roman" w:cs="Times New Roman"/>
        </w:rPr>
        <w:t>第一阶段（1-2周）</w:t>
      </w:r>
    </w:p>
    <w:p w14:paraId="49E24653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完成对抗性盲测实验</w:t>
      </w:r>
    </w:p>
    <w:p w14:paraId="3BD927F5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进行非球形散射修正因子的计算</w:t>
      </w:r>
    </w:p>
    <w:p w14:paraId="686A2E1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更新尘埃物理模型</w:t>
      </w:r>
    </w:p>
    <w:bookmarkEnd w:id="22"/>
    <w:p w14:paraId="1DA42679">
      <w:pPr>
        <w:pStyle w:val="4"/>
        <w:rPr>
          <w:rFonts w:hint="default" w:ascii="Times New Roman" w:hAnsi="Times New Roman" w:cs="Times New Roman"/>
        </w:rPr>
      </w:pPr>
      <w:bookmarkStart w:id="23" w:name="第二阶段2-3周"/>
      <w:r>
        <w:rPr>
          <w:rFonts w:hint="default" w:ascii="Times New Roman" w:hAnsi="Times New Roman" w:cs="Times New Roman"/>
        </w:rPr>
        <w:t>第二阶段（2-3周）</w:t>
      </w:r>
    </w:p>
    <w:p w14:paraId="16BB6E34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重写方法论和结果章节</w:t>
      </w:r>
    </w:p>
    <w:p w14:paraId="0E7A3EB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完成化学指纹对比分析</w:t>
      </w:r>
    </w:p>
    <w:p w14:paraId="02EF112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建立贝叶斯推断框架</w:t>
      </w:r>
    </w:p>
    <w:bookmarkEnd w:id="23"/>
    <w:p w14:paraId="6544F8B8">
      <w:pPr>
        <w:pStyle w:val="4"/>
        <w:rPr>
          <w:rFonts w:hint="default" w:ascii="Times New Roman" w:hAnsi="Times New Roman" w:cs="Times New Roman"/>
        </w:rPr>
      </w:pPr>
      <w:bookmarkStart w:id="24" w:name="第三阶段1周"/>
      <w:r>
        <w:rPr>
          <w:rFonts w:hint="default" w:ascii="Times New Roman" w:hAnsi="Times New Roman" w:cs="Times New Roman"/>
        </w:rPr>
        <w:t>第三阶段（1周）</w:t>
      </w:r>
    </w:p>
    <w:p w14:paraId="4AE9C0D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完善论文结构</w:t>
      </w:r>
    </w:p>
    <w:p w14:paraId="7C146E2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重写摘要和结论</w:t>
      </w:r>
    </w:p>
    <w:p w14:paraId="018F674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进行全面的语法和格式检查</w:t>
      </w:r>
    </w:p>
    <w:bookmarkEnd w:id="21"/>
    <w:bookmarkEnd w:id="24"/>
    <w:p w14:paraId="607468F8">
      <w:pPr>
        <w:pStyle w:val="2"/>
        <w:rPr>
          <w:rFonts w:hint="default" w:ascii="Times New Roman" w:hAnsi="Times New Roman" w:cs="Times New Roman"/>
        </w:rPr>
      </w:pPr>
      <w:bookmarkStart w:id="25" w:name="预期成果"/>
      <w:r>
        <w:rPr>
          <w:rFonts w:hint="default" w:ascii="Times New Roman" w:hAnsi="Times New Roman" w:cs="Times New Roman"/>
        </w:rPr>
        <w:t>预期成果</w:t>
      </w:r>
    </w:p>
    <w:p w14:paraId="15FD572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通过上述系统性的修改，预期达到以下目标：</w:t>
      </w:r>
    </w:p>
    <w:p w14:paraId="16F384D5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数据验证：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建立可靠的对抗性验证框架，消除数据幻觉风险</w:t>
      </w:r>
    </w:p>
    <w:p w14:paraId="7D13897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物理自洽：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实现尘埃物理模型的自洽，消除逻辑硬伤</w:t>
      </w:r>
    </w:p>
    <w:p w14:paraId="36D2C5F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结论稳健：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得到在非球形散射假设下稳健的物理参数</w:t>
      </w:r>
    </w:p>
    <w:p w14:paraId="4690C2D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方法创新：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提出深度学习与物理模型结合的新范式</w:t>
      </w:r>
    </w:p>
    <w:bookmarkEnd w:id="25"/>
    <w:p w14:paraId="725AAED9">
      <w:pPr>
        <w:pStyle w:val="2"/>
        <w:rPr>
          <w:rFonts w:hint="default" w:ascii="Times New Roman" w:hAnsi="Times New Roman" w:cs="Times New Roman"/>
        </w:rPr>
      </w:pPr>
      <w:bookmarkStart w:id="26" w:name="结论"/>
      <w:r>
        <w:rPr>
          <w:rFonts w:hint="default" w:ascii="Times New Roman" w:hAnsi="Times New Roman" w:cs="Times New Roman"/>
        </w:rPr>
        <w:t>结论</w:t>
      </w:r>
    </w:p>
    <w:p w14:paraId="1FF3BBB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本修改方案针对APJ审稿人提出的核心关切，提供了系统性的解决方案。通过引入对抗性验证、建立分层反演策略、完善逻辑论证链条，将使这篇论文从"AI炫技"转变为具有坚实物理基础的天文学方法论佳作。</w:t>
      </w:r>
    </w:p>
    <w:p w14:paraId="3DC7422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建议研究团队按照本方案的时间表推进工作，在保持深度学习计算效率优势的同时，确保物理参数反演的准确性和可靠性。</w:t>
      </w:r>
      <w:bookmarkEnd w:id="26"/>
    </w:p>
    <w:bookmarkEnd w:id="2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2EA7F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883</Words>
  <Characters>1078</Characters>
  <Lines>12</Lines>
  <Paragraphs>8</Paragraphs>
  <TotalTime>6</TotalTime>
  <ScaleCrop>false</ScaleCrop>
  <LinksUpToDate>false</LinksUpToDate>
  <CharactersWithSpaces>1110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2026-05-16T14:38:00Z</dcterms:created>
  <dc:creator>陈智磊</dc:creator>
  <cp:lastModifiedBy>陈智磊</cp:lastModifiedBy>
  <dcterms:modified xsi:type="dcterms:W3CDTF">2026-05-16T14:39:21Z</dcterms:modified>
  <dc:title>应对APJ审稿意见的详细策略文档  关于论文"3I/ATLAS的多波段深度学习分析"的修改方案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KSOTemplateDocerSaveRecord">
    <vt:lpwstr>eyJoZGlkIjoiM2QxMzQ1NmNiYWQ2ZWEyN2EzYjg0OTM4M2FmNjM4MDEiLCJ1c2VySWQiOiIxNzQ0NDIwODU5In0=</vt:lpwstr>
  </property>
  <property fmtid="{D5CDD505-2E9C-101B-9397-08002B2CF9AE}" pid="4" name="KSOProductBuildVer">
    <vt:lpwstr>2052-12.1.0.23542</vt:lpwstr>
  </property>
  <property fmtid="{D5CDD505-2E9C-101B-9397-08002B2CF9AE}" pid="5" name="ICV">
    <vt:lpwstr>1332EB5E07E14234A3AD9BBF8AB430C5_12</vt:lpwstr>
  </property>
</Properties>
</file>