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3FB11">
      <w:pPr>
        <w:pStyle w:val="15"/>
      </w:pPr>
      <w:r>
        <w:rPr>
          <w:rFonts w:hint="eastAsia"/>
        </w:rPr>
        <w:t>审稿意见（中文版）—</w:t>
      </w:r>
      <w:r>
        <w:t xml:space="preserve"> </w:t>
      </w:r>
      <w:r>
        <w:rPr>
          <w:rFonts w:hint="eastAsia"/>
        </w:rPr>
        <w:t>第三轮审阅</w:t>
      </w:r>
    </w:p>
    <w:p w14:paraId="1641942B">
      <w:pPr>
        <w:pStyle w:val="29"/>
      </w:pPr>
      <w:r>
        <w:t>Reviewer</w:t>
      </w:r>
    </w:p>
    <w:p w14:paraId="230B8217">
      <w:pPr>
        <w:pStyle w:val="14"/>
      </w:pPr>
      <w:r>
        <w:t>2026-05-22</w:t>
      </w:r>
    </w:p>
    <w:p w14:paraId="7AACEDCD">
      <w:pPr>
        <w:pStyle w:val="2"/>
      </w:pPr>
      <w:bookmarkStart w:id="0" w:name="论文信息"/>
      <w:r>
        <w:rPr>
          <w:rFonts w:hint="eastAsia"/>
        </w:rPr>
        <w:t>论文信息</w:t>
      </w:r>
    </w:p>
    <w:p w14:paraId="0724AF9C">
      <w:pPr>
        <w:pStyle w:val="25"/>
      </w:pPr>
      <w:r>
        <w:rPr>
          <w:rFonts w:hint="eastAsia"/>
          <w:b/>
          <w:bCs/>
        </w:rPr>
        <w:t>论文</w:t>
      </w:r>
      <w:r>
        <w:rPr>
          <w:rFonts w:hint="eastAsia"/>
        </w:rPr>
        <w:t>：COMETH</w:t>
      </w:r>
      <w:r>
        <w:t xml:space="preserve"> — </w:t>
      </w:r>
      <w:r>
        <w:rPr>
          <w:rFonts w:hint="eastAsia"/>
        </w:rPr>
        <w:t>物理约束多模态融合框架</w:t>
      </w:r>
      <w:r>
        <w:br w:type="textWrapping"/>
      </w:r>
      <w:r>
        <w:rPr>
          <w:rFonts w:hint="eastAsia"/>
          <w:b/>
          <w:bCs/>
        </w:rPr>
        <w:t>建议</w:t>
      </w:r>
      <w:r>
        <w:rPr>
          <w:rFonts w:hint="eastAsia"/>
        </w:rPr>
        <w:t>：大修（有改善，但核心硬伤依然未解决）</w:t>
      </w:r>
    </w:p>
    <w:bookmarkEnd w:id="0"/>
    <w:p w14:paraId="5DEB6269">
      <w:pPr>
        <w:pStyle w:val="2"/>
      </w:pPr>
      <w:bookmarkStart w:id="1" w:name="本轮改善之处"/>
      <w:r>
        <w:rPr>
          <w:rFonts w:hint="eastAsia"/>
        </w:rPr>
        <w:t>本轮改善之处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6313"/>
        <w:gridCol w:w="687"/>
      </w:tblGrid>
      <w:tr w14:paraId="203EE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3BBA99">
            <w:pPr>
              <w:pStyle w:val="26"/>
              <w:jc w:val="left"/>
            </w:pPr>
            <w:r>
              <w:rPr>
                <w:rFonts w:hint="eastAsia"/>
              </w:rPr>
              <w:t>方面</w:t>
            </w:r>
          </w:p>
        </w:tc>
        <w:tc>
          <w:p w14:paraId="67814C86">
            <w:pPr>
              <w:pStyle w:val="26"/>
              <w:jc w:val="left"/>
            </w:pPr>
            <w:r>
              <w:rPr>
                <w:rFonts w:hint="eastAsia"/>
              </w:rPr>
              <w:t>改善内容</w:t>
            </w:r>
          </w:p>
        </w:tc>
        <w:tc>
          <w:p w14:paraId="19BF1EDC">
            <w:pPr>
              <w:pStyle w:val="26"/>
              <w:jc w:val="left"/>
            </w:pPr>
            <w:r>
              <w:rPr>
                <w:rFonts w:hint="eastAsia"/>
              </w:rPr>
              <w:t>评价</w:t>
            </w:r>
          </w:p>
        </w:tc>
      </w:tr>
      <w:tr w14:paraId="2371F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8A2E5F">
            <w:pPr>
              <w:pStyle w:val="26"/>
              <w:jc w:val="left"/>
            </w:pPr>
            <w:r>
              <w:rPr>
                <w:rFonts w:hint="eastAsia"/>
              </w:rPr>
              <w:t>失败地图</w:t>
            </w:r>
          </w:p>
        </w:tc>
        <w:tc>
          <w:p w14:paraId="519FB0AA">
            <w:pPr>
              <w:pStyle w:val="26"/>
              <w:jc w:val="left"/>
            </w:pPr>
            <w:r>
              <w:rPr>
                <w:rFonts w:hint="eastAsia"/>
              </w:rPr>
              <w:t>从文字变为绿/黄/红三区定量划分，附公众代码库</w:t>
            </w:r>
          </w:p>
        </w:tc>
        <w:tc>
          <w:p w14:paraId="55B524D5">
            <w:pPr>
              <w:pStyle w:val="26"/>
              <w:jc w:val="left"/>
            </w:pPr>
            <w:r>
              <w:t>✅</w:t>
            </w:r>
          </w:p>
        </w:tc>
      </w:tr>
      <w:tr w14:paraId="5F98A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05225B">
            <w:pPr>
              <w:pStyle w:val="26"/>
              <w:jc w:val="left"/>
            </w:pPr>
            <w:r>
              <w:rPr>
                <w:rFonts w:hint="eastAsia"/>
              </w:rPr>
              <w:t>灾难预演</w:t>
            </w:r>
          </w:p>
        </w:tc>
        <w:tc>
          <w:p w14:paraId="591A0ADD">
            <w:pPr>
              <w:pStyle w:val="26"/>
              <w:jc w:val="left"/>
            </w:pPr>
            <w:r>
              <w:rPr>
                <w:rFonts w:hint="eastAsia"/>
              </w:rPr>
              <w:t>正式命名</w:t>
            </w:r>
            <w:r>
              <w:t>“Failure Mode 6”</w:t>
            </w:r>
            <w:r>
              <w:rPr>
                <w:rFonts w:hint="eastAsia"/>
              </w:rPr>
              <w:t>，列出传统方法3类具体错误</w:t>
            </w:r>
          </w:p>
        </w:tc>
        <w:tc>
          <w:p w14:paraId="33268946">
            <w:pPr>
              <w:pStyle w:val="26"/>
              <w:jc w:val="left"/>
            </w:pPr>
            <w:r>
              <w:t>✅</w:t>
            </w:r>
          </w:p>
        </w:tc>
      </w:tr>
      <w:tr w14:paraId="10F83F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3E3B48">
            <w:pPr>
              <w:pStyle w:val="26"/>
              <w:jc w:val="left"/>
            </w:pPr>
            <w:r>
              <w:rPr>
                <w:rFonts w:hint="eastAsia"/>
              </w:rPr>
              <w:t>不确定性分解</w:t>
            </w:r>
          </w:p>
        </w:tc>
        <w:tc>
          <w:p w14:paraId="3B6339E0">
            <w:pPr>
              <w:pStyle w:val="26"/>
              <w:jc w:val="left"/>
            </w:pPr>
            <w:r>
              <w:rPr>
                <w:rFonts w:hint="eastAsia"/>
              </w:rPr>
              <w:t>明确拆成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stat</m:t>
                  </m:r>
                </m:sub>
              </m:sSub>
              <m:r>
                <m:rPr>
                  <m:sty m:val="p"/>
                </m:rPr>
                <m:t>∼</m:t>
              </m:r>
              <m:r>
                <m:rPr/>
                <m:t>3</m:t>
              </m:r>
              <m:r>
                <m:rPr>
                  <m:sty m:val="p"/>
                </m:rPr>
                <m:t>%/</m:t>
              </m:r>
              <m:r>
                <m:rPr/>
                <m:t>5</m:t>
              </m:r>
              <m:r>
                <m:rPr>
                  <m:sty m:val="p"/>
                </m:rPr>
                <m:t>%</m:t>
              </m:r>
            </m:oMath>
            <w:r>
              <w:t xml:space="preserve"> + </w:t>
            </w:r>
            <m:oMath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sys</m:t>
                  </m:r>
                </m:sub>
              </m:sSub>
              <m:r>
                <m:rPr>
                  <m:sty m:val="p"/>
                </m:rPr>
                <m:t>∼</m:t>
              </m:r>
              <m:r>
                <m:rPr/>
                <m:t>5</m:t>
              </m:r>
              <m:r>
                <m:rPr>
                  <m:sty m:val="p"/>
                </m:rPr>
                <m:t>%/</m:t>
              </m:r>
              <m:r>
                <m:rPr/>
                <m:t>8</m:t>
              </m:r>
              <m:r>
                <m:rPr>
                  <m:sty m:val="p"/>
                </m:rPr>
                <m:t>%</m:t>
              </m:r>
            </m:oMath>
            <w:r>
              <w:t xml:space="preserve"> + </w:t>
            </w:r>
            <m:oMath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domain</m:t>
                  </m:r>
                </m:sub>
              </m:sSub>
              <m:r>
                <m:rPr>
                  <m:sty m:val="p"/>
                </m:rPr>
                <m:t>∼</m:t>
              </m:r>
              <m:r>
                <m:rPr/>
                <m:t>5</m:t>
              </m:r>
              <m:r>
                <m:rPr>
                  <m:nor/>
                  <m:sty m:val="p"/>
                </m:rPr>
                <w:rPr>
                  <w:b w:val="0"/>
                  <w:i w:val="0"/>
                </w:rPr>
                <m:t>–</m:t>
              </m:r>
              <m:r>
                <m:rPr/>
                <m:t>7</m:t>
              </m:r>
              <m:r>
                <m:rPr>
                  <m:sty m:val="p"/>
                </m:rPr>
                <m:t>%</m:t>
              </m:r>
            </m:oMath>
          </w:p>
        </w:tc>
        <w:tc>
          <w:p w14:paraId="55B68089">
            <w:pPr>
              <w:pStyle w:val="26"/>
              <w:jc w:val="left"/>
            </w:pPr>
            <w:r>
              <w:t>✅</w:t>
            </w:r>
          </w:p>
        </w:tc>
      </w:tr>
      <w:tr w14:paraId="37C2BC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0DA6B9">
            <w:pPr>
              <w:pStyle w:val="26"/>
              <w:jc w:val="left"/>
            </w:pPr>
            <w:r>
              <w:rPr>
                <w:rFonts w:hint="eastAsia"/>
              </w:rPr>
              <w:t>人vs机器实验</w:t>
            </w:r>
          </w:p>
        </w:tc>
        <w:tc>
          <w:p w14:paraId="201C57D8">
            <w:pPr>
              <w:pStyle w:val="26"/>
              <w:jc w:val="left"/>
            </w:pPr>
            <w:r>
              <w:rPr>
                <w:rFonts w:hint="eastAsia"/>
              </w:rPr>
              <w:t>交代局限性（</w:t>
            </w:r>
            <m:oMath>
              <m:r>
                <m:rPr/>
                <m:t>N</m:t>
              </m:r>
              <m:r>
                <m:rPr>
                  <m:sty m:val="p"/>
                </m:rPr>
                <m:t>=</m:t>
              </m:r>
              <m:r>
                <m:rPr/>
                <m:t>5</m:t>
              </m:r>
            </m:oMath>
            <w:r>
              <w:rPr>
                <w:rFonts w:hint="eastAsia"/>
              </w:rPr>
              <w:t>，95%CI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/>
                <m:t>18</m:t>
              </m:r>
              <m:r>
                <m:rPr>
                  <m:sty m:val="p"/>
                </m:rPr>
                <m:t>%,</m:t>
              </m:r>
              <m:r>
                <m:rPr/>
                <m:t>47</m:t>
              </m:r>
              <m:r>
                <m:rPr>
                  <m:sty m:val="p"/>
                </m:rPr>
                <m:t>%]</m:t>
              </m:r>
            </m:oMath>
            <w:r>
              <w:rPr>
                <w:rFonts w:hint="eastAsia"/>
              </w:rPr>
              <w:t>），</w:t>
            </w:r>
            <m:oMath>
              <m:r>
                <m:rPr/>
                <m:t>κ</m:t>
              </m:r>
              <m:r>
                <m:rPr>
                  <m:sty m:val="p"/>
                </m:rPr>
                <m:t>=</m:t>
              </m:r>
              <m:r>
                <m:rPr/>
                <m:t>0.41</m:t>
              </m:r>
            </m:oMath>
          </w:p>
        </w:tc>
        <w:tc>
          <w:p w14:paraId="32BC1790">
            <w:pPr>
              <w:pStyle w:val="26"/>
              <w:jc w:val="left"/>
            </w:pPr>
            <w:r>
              <w:t>✅</w:t>
            </w:r>
          </w:p>
        </w:tc>
      </w:tr>
      <w:tr w14:paraId="2D120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42498D">
            <w:pPr>
              <w:pStyle w:val="26"/>
              <w:jc w:val="left"/>
            </w:pPr>
            <w:r>
              <w:rPr>
                <w:rFonts w:hint="eastAsia"/>
              </w:rPr>
              <w:t>观测策略优化器</w:t>
            </w:r>
          </w:p>
        </w:tc>
        <w:tc>
          <w:p w14:paraId="61E7A92A">
            <w:pPr>
              <w:pStyle w:val="26"/>
              <w:jc w:val="left"/>
            </w:pPr>
            <w:r>
              <w:rPr>
                <w:rFonts w:hint="eastAsia"/>
              </w:rPr>
              <w:t>给出3种典型场景最优方案，指出光谱获取是最关键决策</w:t>
            </w:r>
          </w:p>
        </w:tc>
        <w:tc>
          <w:p w14:paraId="52017AFB">
            <w:pPr>
              <w:pStyle w:val="26"/>
              <w:jc w:val="left"/>
            </w:pPr>
            <w:r>
              <w:t>✅</w:t>
            </w:r>
          </w:p>
        </w:tc>
      </w:tr>
      <w:tr w14:paraId="79B87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D8A9D6">
            <w:pPr>
              <w:pStyle w:val="26"/>
              <w:jc w:val="left"/>
            </w:pPr>
            <w:r>
              <w:rPr>
                <w:rFonts w:hint="eastAsia"/>
              </w:rPr>
              <w:t>OOD检测器</w:t>
            </w:r>
          </w:p>
        </w:tc>
        <w:tc>
          <w:p w14:paraId="0716EFF8">
            <w:pPr>
              <w:pStyle w:val="26"/>
              <w:jc w:val="left"/>
            </w:pPr>
            <w:r>
              <w:rPr>
                <w:rFonts w:hint="eastAsia"/>
              </w:rPr>
              <w:t>补充</w:t>
            </w:r>
            <w:r>
              <w:t xml:space="preserve"> GMM vs Mahalanobis vs Isolation Forest </w:t>
            </w:r>
            <w:r>
              <w:rPr>
                <w:rFonts w:hint="eastAsia"/>
              </w:rPr>
              <w:t>对比</w:t>
            </w:r>
          </w:p>
        </w:tc>
        <w:tc>
          <w:p w14:paraId="22F7C9A7">
            <w:pPr>
              <w:pStyle w:val="26"/>
              <w:jc w:val="left"/>
            </w:pPr>
            <w:r>
              <w:t>✅</w:t>
            </w:r>
          </w:p>
        </w:tc>
      </w:tr>
      <w:bookmarkEnd w:id="1"/>
    </w:tbl>
    <w:p w14:paraId="054D895A">
      <w:pPr>
        <w:pStyle w:val="2"/>
      </w:pPr>
      <w:bookmarkStart w:id="2" w:name="核心硬伤未解决"/>
      <w:r>
        <w:rPr>
          <w:rFonts w:hint="eastAsia"/>
        </w:rPr>
        <w:t>核心硬伤（未解决）</w:t>
      </w:r>
    </w:p>
    <w:p w14:paraId="399D7F8A">
      <w:pPr>
        <w:pStyle w:val="4"/>
      </w:pPr>
      <w:bookmarkStart w:id="3" w:name="仍然没有同一批数据的直接对比最大问题"/>
      <w:r>
        <w:t xml:space="preserve">🔴 1. </w:t>
      </w:r>
      <w:r>
        <w:rPr>
          <w:rFonts w:hint="eastAsia"/>
        </w:rPr>
        <w:t>仍然没有同一批数据的直接对比（最大问题）</w:t>
      </w:r>
    </w:p>
    <w:p w14:paraId="1839332D">
      <w:pPr>
        <w:pStyle w:val="25"/>
      </w:pPr>
      <w:r>
        <w:rPr>
          <w:rFonts w:hint="eastAsia"/>
        </w:rPr>
        <w:t>作者理由：</w:t>
      </w:r>
    </w:p>
    <w:p w14:paraId="793A490B">
      <w:pPr>
        <w:pStyle w:val="13"/>
      </w:pPr>
      <w:r>
        <w:rPr>
          <w:rFonts w:hint="eastAsia"/>
        </w:rPr>
        <w:t>“传统方法没有在同一批2I/Borisov图像上重新运行…这不是同一数据比较。”</w:t>
      </w:r>
    </w:p>
    <w:p w14:paraId="00A988BE">
      <w:pPr>
        <w:pStyle w:val="25"/>
      </w:pPr>
      <w:r>
        <w:rPr>
          <w:rFonts w:hint="eastAsia"/>
          <w:b/>
          <w:bCs/>
        </w:rPr>
        <w:t>反驳</w:t>
      </w:r>
      <w:r>
        <w:rPr>
          <w:rFonts w:hint="eastAsia"/>
        </w:rPr>
        <w:t>：ESO档案和MAST数据均已公开，将框架与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f</m:t>
            </m:r>
          </m:sub>
        </m:sSub>
        <m:r>
          <m:rPr/>
          <m:t>ρ</m:t>
        </m:r>
      </m:oMath>
      <w:r>
        <w:t xml:space="preserve">/Haser </w:t>
      </w:r>
      <w:r>
        <w:rPr>
          <w:rFonts w:hint="eastAsia"/>
          <w:b/>
          <w:bCs/>
        </w:rPr>
        <w:t>跑在同一组图像上</w:t>
      </w:r>
      <w:r>
        <w:rPr>
          <w:rFonts w:hint="eastAsia"/>
        </w:rPr>
        <w:t>并非“另写一篇方法论文”，而是任何方法论文的基本要求。</w:t>
      </w:r>
    </w:p>
    <w:p w14:paraId="1F019E74">
      <w:pPr>
        <w:pStyle w:val="3"/>
      </w:pPr>
      <w:r>
        <w:t>Table </w:t>
      </w:r>
      <w:r>
        <w:rPr>
          <w:rFonts w:hint="eastAsia"/>
        </w:rPr>
        <w:t>10将框架结果与文献值并列，称“不证明谁优谁劣”，却又用12%</w:t>
      </w:r>
      <w:r>
        <w:t> </w:t>
      </w:r>
      <w:r>
        <w:rPr>
          <w:rFonts w:hint="eastAsia"/>
        </w:rPr>
        <w:t>MAD当有效性证据——</w:t>
      </w:r>
      <w:r>
        <w:rPr>
          <w:rFonts w:hint="eastAsia"/>
          <w:b/>
          <w:bCs/>
        </w:rPr>
        <w:t>自相矛盾</w:t>
      </w:r>
      <w:r>
        <w:t>。</w:t>
      </w:r>
    </w:p>
    <w:bookmarkEnd w:id="3"/>
    <w:p w14:paraId="14B85EF1">
      <w:pPr>
        <w:pStyle w:val="4"/>
      </w:pPr>
      <w:bookmarkStart w:id="4" w:name="n1-问题从隐含变明示但仍无解"/>
      <w:r>
        <w:t xml:space="preserve">🔴 2. </w:t>
      </w:r>
      <m:oMath>
        <m:r>
          <m:rPr/>
          <m:t>N</m:t>
        </m:r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问题从“隐含”变“明示”，但仍无解</w:t>
      </w:r>
    </w:p>
    <w:p w14:paraId="483B20EA">
      <w:pPr>
        <w:pStyle w:val="25"/>
      </w:pPr>
      <w:r>
        <w:rPr>
          <w:rFonts w:hint="eastAsia"/>
        </w:rPr>
        <w:t>论文主动承认：</w:t>
      </w:r>
    </w:p>
    <w:p w14:paraId="54C08CD5">
      <w:pPr>
        <w:pStyle w:val="13"/>
      </w:pPr>
      <w:r>
        <w:t>“</w:t>
      </w:r>
      <m:oMath>
        <m:sSub>
          <m:sSubPr/>
          <m:e>
            <m:r>
              <m:rPr/>
              <m:t>δ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domain</m:t>
            </m:r>
          </m:sub>
        </m:sSub>
      </m:oMath>
      <w:r>
        <w:t xml:space="preserve"> </w:t>
      </w:r>
      <w:r>
        <w:rPr>
          <w:rFonts w:hint="eastAsia"/>
        </w:rPr>
        <w:t>是临时值——基于</w:t>
      </w:r>
      <m:oMath>
        <m:r>
          <m:rPr/>
          <m:t>N</m:t>
        </m:r>
        <m:r>
          <m:rPr>
            <m:sty m:val="p"/>
          </m:rPr>
          <m:t>=</m:t>
        </m:r>
        <m:r>
          <m:rPr/>
          <m:t>1</m:t>
        </m:r>
      </m:oMath>
      <w:r>
        <w:t>”</w:t>
      </w:r>
      <w:r>
        <w:rPr>
          <w:rFonts w:hint="eastAsia"/>
        </w:rPr>
        <w:t>；</w:t>
      </w:r>
      <w:r>
        <w:br w:type="textWrapping"/>
      </w:r>
      <w:r>
        <w:rPr>
          <w:rFonts w:hint="eastAsia"/>
        </w:rPr>
        <w:t>“球形颗粒假设带来</w:t>
      </w:r>
      <w:r>
        <w:t xml:space="preserve"> </w:t>
      </w:r>
      <m:oMath>
        <m:r>
          <m:rPr>
            <m:sty m:val="p"/>
          </m:rPr>
          <m:t>+</m:t>
        </m:r>
        <m:r>
          <m:rPr/>
          <m:t>8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>偏差（多孔颗粒</w:t>
      </w:r>
      <w:r>
        <w:t xml:space="preserve"> </w:t>
      </w:r>
      <m:oMath>
        <m:r>
          <m:rPr>
            <m:sty m:val="p"/>
          </m:rPr>
          <m:t>+</m:t>
        </m:r>
        <m:r>
          <m:rPr/>
          <m:t>19</m:t>
        </m:r>
        <m:r>
          <m:rPr>
            <m:sty m:val="p"/>
          </m:rPr>
          <m:t>%</m:t>
        </m:r>
      </m:oMath>
      <w:r>
        <w:rPr>
          <w:rFonts w:hint="eastAsia"/>
        </w:rPr>
        <w:t>）”</w:t>
      </w:r>
      <w:r>
        <w:t>。</w:t>
      </w:r>
    </w:p>
    <w:p w14:paraId="2E153177">
      <w:pPr>
        <w:pStyle w:val="25"/>
      </w:pPr>
      <w:r>
        <w:rPr>
          <w:rFonts w:hint="eastAsia"/>
          <w:b/>
          <w:bCs/>
        </w:rPr>
        <w:t>关键矛盾</w:t>
      </w:r>
      <w:r>
        <w:rPr>
          <w:rFonts w:hint="eastAsia"/>
        </w:rPr>
        <w:t>：标题和摘要称“能处理星际彗星”，但§5.4(iv)的</w:t>
      </w:r>
      <w:r>
        <w:t>“If-Then”</w:t>
      </w:r>
      <w:r>
        <w:rPr>
          <w:rFonts w:hint="eastAsia"/>
        </w:rPr>
        <w:t>指南却说：</w:t>
      </w:r>
    </w:p>
    <w:p w14:paraId="57A787B3">
      <w:pPr>
        <w:pStyle w:val="13"/>
      </w:pPr>
      <w:r>
        <w:rPr>
          <w:rFonts w:hint="eastAsia"/>
        </w:rPr>
        <w:t>“如果</w:t>
      </w:r>
      <w:r>
        <w:t xml:space="preserve"> </w:t>
      </w:r>
      <m:oMath>
        <m:sSub>
          <m:sSubPr/>
          <m:e>
            <m:r>
              <m:rPr>
                <m:nor/>
                <m:sty m:val="p"/>
              </m:rPr>
              <w:rPr>
                <w:b w:val="0"/>
                <w:i w:val="0"/>
              </w:rPr>
              <m:t>CO/H</m:t>
            </m:r>
          </m:e>
          <m:sub>
            <m:r>
              <m:rPr/>
              <m:t>2</m:t>
            </m:r>
          </m:sub>
        </m:sSub>
        <m:r>
          <m:rPr>
            <m:nor/>
            <m:sty m:val="p"/>
          </m:rPr>
          <w:rPr>
            <w:b w:val="0"/>
            <w:i w:val="0"/>
          </w:rPr>
          <m:t>O</m:t>
        </m:r>
        <m:r>
          <m:rPr>
            <m:sty m:val="p"/>
          </m:rPr>
          <m:t>≫</m:t>
        </m:r>
        <m:r>
          <m:rPr/>
          <m:t>2</m:t>
        </m:r>
      </m:oMath>
      <w:r>
        <w:rPr>
          <w:rFonts w:hint="eastAsia"/>
        </w:rPr>
        <w:t>，不要用这个框架，把结果当定性指标而非定量测量。”</w:t>
      </w:r>
    </w:p>
    <w:p w14:paraId="0F4AAAB2">
      <w:pPr>
        <w:pStyle w:val="25"/>
      </w:pPr>
      <w:r>
        <w:rPr>
          <w:rFonts w:hint="eastAsia"/>
        </w:rPr>
        <w:t>2I/Borisov的</w:t>
      </w:r>
      <m:oMath>
        <m:sSub>
          <m:sSubPr/>
          <m:e>
            <m:r>
              <m:rPr>
                <m:nor/>
                <m:sty m:val="p"/>
              </m:rPr>
              <w:rPr>
                <w:b w:val="0"/>
                <w:i w:val="0"/>
              </w:rPr>
              <m:t>CO/H</m:t>
            </m:r>
          </m:e>
          <m:sub>
            <m:r>
              <m:rPr/>
              <m:t>2</m:t>
            </m:r>
          </m:sub>
        </m:sSub>
        <m:r>
          <m:rPr>
            <m:nor/>
            <m:sty m:val="p"/>
          </m:rPr>
          <w:rPr>
            <w:b w:val="0"/>
            <w:i w:val="0"/>
          </w:rPr>
          <m:t>O</m:t>
        </m:r>
        <m:r>
          <m:rPr>
            <m:sty m:val="p"/>
          </m:rPr>
          <m:t>=</m:t>
        </m:r>
        <m:r>
          <m:rPr/>
          <m:t>1.30</m:t>
        </m:r>
        <m:r>
          <m:rPr>
            <m:nor/>
            <m:sty m:val="p"/>
          </m:rPr>
          <w:rPr>
            <w:b w:val="0"/>
            <w:i w:val="0"/>
          </w:rPr>
          <m:t>–</m:t>
        </m:r>
        <m:r>
          <m:rPr/>
          <m:t>1.55</m:t>
        </m:r>
      </m:oMath>
      <w:r>
        <w:rPr>
          <w:rFonts w:hint="eastAsia"/>
        </w:rPr>
        <w:t>刚好落在训练范围</w:t>
      </w:r>
      <m:oMath>
        <m:r>
          <m:rPr>
            <m:sty m:val="p"/>
          </m:rPr>
          <m:t>[</m:t>
        </m:r>
        <m:r>
          <m:rPr/>
          <m:t>0.01</m:t>
        </m:r>
        <m:r>
          <m:rPr>
            <m:sty m:val="p"/>
          </m:rPr>
          <m:t>,</m:t>
        </m:r>
        <m:r>
          <m:rPr/>
          <m:t>2.0</m:t>
        </m:r>
        <m:r>
          <m:rPr>
            <m:sty m:val="p"/>
          </m:rPr>
          <m:t>]</m:t>
        </m:r>
      </m:oMath>
      <w:r>
        <w:rPr>
          <w:rFonts w:hint="eastAsia"/>
        </w:rPr>
        <w:t>内，其12%</w:t>
      </w:r>
      <w:r>
        <w:t> MAD</w:t>
      </w:r>
      <w:r>
        <w:rPr>
          <w:rFonts w:hint="eastAsia"/>
          <w:b/>
          <w:bCs/>
        </w:rPr>
        <w:t>可能只是碰巧</w:t>
      </w:r>
      <w:r>
        <w:t>。</w:t>
      </w:r>
    </w:p>
    <w:bookmarkEnd w:id="4"/>
    <w:p w14:paraId="65912B24">
      <w:pPr>
        <w:pStyle w:val="4"/>
      </w:pPr>
      <w:bookmarkStart w:id="5" w:name="观测策略优化器仍未验证"/>
      <w:r>
        <w:t xml:space="preserve">🟡 3. </w:t>
      </w:r>
      <w:r>
        <w:rPr>
          <w:rFonts w:hint="eastAsia"/>
        </w:rPr>
        <w:t>观测策略优化器仍未验证</w:t>
      </w:r>
    </w:p>
    <w:p w14:paraId="07057B20">
      <w:pPr>
        <w:pStyle w:val="13"/>
      </w:pPr>
      <w:r>
        <w:rPr>
          <w:rFonts w:hint="eastAsia"/>
        </w:rPr>
        <w:t>“推荐来自合成彗星的正向模拟，</w:t>
      </w:r>
      <w:r>
        <w:rPr>
          <w:rFonts w:hint="eastAsia"/>
          <w:b/>
          <w:bCs/>
        </w:rPr>
        <w:t>尚未用真实ToO观测结果验证</w:t>
      </w:r>
      <w:r>
        <w:t>。”</w:t>
      </w:r>
    </w:p>
    <w:p w14:paraId="14E40D2C">
      <w:pPr>
        <w:pStyle w:val="25"/>
      </w:pPr>
      <w:r>
        <w:t xml:space="preserve">retrospective </w:t>
      </w:r>
      <w:r>
        <w:rPr>
          <w:rFonts w:hint="eastAsia"/>
        </w:rPr>
        <w:t>validation计划提到但</w:t>
      </w:r>
      <w:r>
        <w:rPr>
          <w:rFonts w:hint="eastAsia"/>
          <w:b/>
          <w:bCs/>
        </w:rPr>
        <w:t>未做</w:t>
      </w:r>
      <w:r>
        <w:rPr>
          <w:rFonts w:hint="eastAsia"/>
        </w:rPr>
        <w:t>。对自称“决策支持工具”的系统，这是致命缺口。</w:t>
      </w:r>
    </w:p>
    <w:bookmarkEnd w:id="5"/>
    <w:p w14:paraId="14467181">
      <w:pPr>
        <w:pStyle w:val="4"/>
      </w:pPr>
      <w:bookmarkStart w:id="6" w:name="table-13-修正值方向矛盾"/>
      <w:r>
        <w:t xml:space="preserve">🟡 4. Table 13 </w:t>
      </w:r>
      <w:r>
        <w:rPr>
          <w:rFonts w:hint="eastAsia"/>
        </w:rPr>
        <w:t>修正值方向矛盾</w:t>
      </w:r>
    </w:p>
    <w:p w14:paraId="2B693CE4">
      <w:pPr>
        <w:pStyle w:val="25"/>
      </w:pPr>
      <w:r>
        <w:t>Table </w:t>
      </w:r>
      <w:r>
        <w:rPr>
          <w:rFonts w:hint="eastAsia"/>
        </w:rPr>
        <w:t>13说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d</m:t>
            </m:r>
          </m:sub>
        </m:sSub>
      </m:oMath>
      <w:r>
        <w:t xml:space="preserve"> </w:t>
      </w:r>
      <w:r>
        <w:rPr>
          <w:rFonts w:hint="eastAsia"/>
        </w:rPr>
        <w:t>要</w:t>
      </w:r>
      <w:r>
        <w:rPr>
          <w:b/>
          <w:bCs/>
        </w:rPr>
        <w:t>“Subtract 8.2%”</w:t>
      </w:r>
      <w:r>
        <w:rPr>
          <w:rFonts w:hint="eastAsia"/>
        </w:rPr>
        <w:t>（减去），但正文说球形颗粒带来的是</w:t>
      </w:r>
      <w:r>
        <w:rPr>
          <w:b/>
          <w:bCs/>
        </w:rPr>
        <w:t>“</w:t>
      </w:r>
      <m:oMath>
        <m:r>
          <m:rPr>
            <m:sty m:val="p"/>
          </m:rPr>
          <m:t>+</m:t>
        </m:r>
        <m:r>
          <m:rPr/>
          <m:t>8</m:t>
        </m:r>
        <m:r>
          <m:rPr>
            <m:sty m:val="p"/>
          </m:rPr>
          <m:t>%</m:t>
        </m:r>
      </m:oMath>
      <w:r>
        <w:rPr>
          <w:b/>
          <w:bCs/>
        </w:rPr>
        <w:t xml:space="preserve"> bias”</w:t>
      </w:r>
      <w:r>
        <w:rPr>
          <w:rFonts w:hint="eastAsia"/>
        </w:rPr>
        <w:t>（高估）。</w:t>
      </w:r>
      <w:r>
        <w:rPr>
          <w:rFonts w:hint="eastAsia"/>
          <w:b/>
          <w:bCs/>
        </w:rPr>
        <w:t>方向反了</w:t>
      </w:r>
      <w:r>
        <w:t>。</w:t>
      </w:r>
    </w:p>
    <w:bookmarkEnd w:id="2"/>
    <w:bookmarkEnd w:id="6"/>
    <w:p w14:paraId="53623E52">
      <w:pPr>
        <w:pStyle w:val="2"/>
      </w:pPr>
      <w:bookmarkStart w:id="7" w:name="本轮新发现的问题"/>
      <w:r>
        <w:rPr>
          <w:rFonts w:hint="eastAsia"/>
        </w:rPr>
        <w:t>本轮新发现的问题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1112"/>
        <w:gridCol w:w="5588"/>
      </w:tblGrid>
      <w:tr w14:paraId="15820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D5A0A4">
            <w:pPr>
              <w:pStyle w:val="26"/>
              <w:jc w:val="left"/>
            </w:pPr>
            <w:r>
              <w:rPr>
                <w:rFonts w:hint="eastAsia"/>
              </w:rPr>
              <w:t>问题</w:t>
            </w:r>
          </w:p>
        </w:tc>
        <w:tc>
          <w:p w14:paraId="05E6020F">
            <w:pPr>
              <w:pStyle w:val="26"/>
              <w:jc w:val="left"/>
            </w:pPr>
            <w:r>
              <w:rPr>
                <w:rFonts w:hint="eastAsia"/>
              </w:rPr>
              <w:t>位置</w:t>
            </w:r>
          </w:p>
        </w:tc>
        <w:tc>
          <w:p w14:paraId="2F052ADD">
            <w:pPr>
              <w:pStyle w:val="26"/>
              <w:jc w:val="left"/>
            </w:pPr>
            <w:r>
              <w:rPr>
                <w:rFonts w:hint="eastAsia"/>
              </w:rPr>
              <w:t>说明</w:t>
            </w:r>
          </w:p>
        </w:tc>
      </w:tr>
      <w:tr w14:paraId="2C5E2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194B49">
            <w:pPr>
              <w:pStyle w:val="26"/>
              <w:jc w:val="left"/>
            </w:pPr>
            <w:r>
              <w:t xml:space="preserve">Stress Test 6 </w:t>
            </w:r>
            <w:r>
              <w:rPr>
                <w:rFonts w:hint="eastAsia"/>
              </w:rPr>
              <w:t>自适应约束</w:t>
            </w:r>
          </w:p>
        </w:tc>
        <w:tc>
          <w:p w14:paraId="5DF4DF2B">
            <w:pPr>
              <w:pStyle w:val="26"/>
              <w:jc w:val="left"/>
            </w:pPr>
            <w:r>
              <w:t>§5.7(iv)</w:t>
            </w:r>
          </w:p>
        </w:tc>
        <w:tc>
          <w:p w14:paraId="44C12C6D">
            <w:pPr>
              <w:pStyle w:val="26"/>
              <w:jc w:val="left"/>
            </w:pPr>
            <w:r>
              <w:rPr>
                <w:rFonts w:hint="eastAsia"/>
              </w:rPr>
              <w:t>仅提“未来可加”，当前框架在爆发后</w:t>
            </w:r>
            <w:r>
              <w:rPr>
                <w:rFonts w:hint="eastAsia"/>
                <w:b/>
                <w:bCs/>
              </w:rPr>
              <w:t>35–40%低估</w:t>
            </w:r>
            <m:oMath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d</m:t>
                  </m:r>
                </m:sub>
              </m:sSub>
            </m:oMath>
            <w:r>
              <w:rPr>
                <w:rFonts w:hint="eastAsia"/>
              </w:rPr>
              <w:t>，bug未修</w:t>
            </w:r>
          </w:p>
        </w:tc>
      </w:tr>
      <w:tr w14:paraId="2D4F7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9E97F8">
            <w:pPr>
              <w:pStyle w:val="26"/>
              <w:jc w:val="left"/>
            </w:pPr>
            <w:r>
              <w:t xml:space="preserve">MMD gap </w:t>
            </w:r>
            <w:r>
              <w:rPr>
                <w:rFonts w:hint="eastAsia"/>
              </w:rPr>
              <w:t>验证</w:t>
            </w:r>
          </w:p>
        </w:tc>
        <w:tc>
          <w:p w14:paraId="2F151334">
            <w:pPr>
              <w:pStyle w:val="26"/>
              <w:jc w:val="left"/>
            </w:pPr>
            <w:r>
              <w:t>§4.6.4</w:t>
            </w:r>
          </w:p>
        </w:tc>
        <w:tc>
          <w:p w14:paraId="4FB62C71">
            <w:pPr>
              <w:pStyle w:val="26"/>
              <w:jc w:val="left"/>
            </w:pPr>
            <w:r>
              <w:rPr>
                <w:rFonts w:hint="eastAsia"/>
              </w:rPr>
              <w:t>需要</w:t>
            </w:r>
            <m:oMath>
              <m:r>
                <m:rPr/>
                <m:t>N</m:t>
              </m:r>
              <m:r>
                <m:rPr>
                  <m:sty m:val="p"/>
                </m:rPr>
                <m:t>≥</m:t>
              </m:r>
              <m:r>
                <m:rPr/>
                <m:t>5</m:t>
              </m:r>
              <m:r>
                <m:rPr>
                  <m:nor/>
                  <m:sty m:val="p"/>
                </m:rPr>
                <w:rPr>
                  <w:b w:val="0"/>
                  <w:i w:val="0"/>
                </w:rPr>
                <m:t>–</m:t>
              </m:r>
              <m:r>
                <m:rPr/>
                <m:t>10</m:t>
              </m:r>
            </m:oMath>
            <w:r>
              <w:rPr>
                <w:rFonts w:hint="eastAsia"/>
              </w:rPr>
              <w:t>，现仅</w:t>
            </w:r>
            <m:oMath>
              <m:r>
                <m:rPr/>
                <m:t>N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oMath>
            <w:r>
              <w:rPr>
                <w:rFonts w:hint="eastAsia"/>
              </w:rPr>
              <w:t>，方案</w:t>
            </w:r>
            <w:r>
              <w:rPr>
                <w:rFonts w:hint="eastAsia"/>
                <w:b/>
                <w:bCs/>
              </w:rPr>
              <w:t>现在能做但没做</w:t>
            </w:r>
          </w:p>
        </w:tc>
      </w:tr>
      <w:tr w14:paraId="3FE47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BB416D">
            <w:pPr>
              <w:pStyle w:val="26"/>
              <w:jc w:val="left"/>
            </w:pPr>
            <w:r>
              <w:rPr>
                <w:rFonts w:hint="eastAsia"/>
              </w:rPr>
              <w:t>绿色区域边界</w:t>
            </w:r>
          </w:p>
        </w:tc>
        <w:tc>
          <w:p w14:paraId="7D2F4D11">
            <w:pPr>
              <w:pStyle w:val="26"/>
              <w:jc w:val="left"/>
            </w:pPr>
            <w:r>
              <w:t>§5.1</w:t>
            </w:r>
          </w:p>
        </w:tc>
        <w:tc>
          <w:p w14:paraId="550CDAF7">
            <w:pPr>
              <w:pStyle w:val="26"/>
              <w:jc w:val="left"/>
            </w:pPr>
            <w:r>
              <w:rPr>
                <w:rFonts w:hint="eastAsia"/>
              </w:rPr>
              <w:t>称SNR</w:t>
            </w:r>
            <m:oMath>
              <m:r>
                <m:rPr>
                  <m:sty m:val="p"/>
                </m:rPr>
                <m:t>&gt;</m:t>
              </m:r>
              <m:r>
                <m:rPr/>
                <m:t>5</m:t>
              </m:r>
            </m:oMath>
            <w:r>
              <w:rPr>
                <w:rFonts w:hint="eastAsia"/>
              </w:rPr>
              <w:t>所有方法能用，但人vs机器显示人类在SNR</w:t>
            </w:r>
            <m:oMath>
              <m:r>
                <m:rPr>
                  <m:sty m:val="p"/>
                </m:rPr>
                <m:t>&lt;</m:t>
              </m:r>
              <m:r>
                <m:rPr/>
                <m:t>2</m:t>
              </m:r>
            </m:oMath>
            <w:r>
              <w:rPr>
                <w:rFonts w:hint="eastAsia"/>
              </w:rPr>
              <w:t>才崩，边界应下调</w:t>
            </w:r>
          </w:p>
        </w:tc>
      </w:tr>
      <w:bookmarkEnd w:id="7"/>
    </w:tbl>
    <w:p w14:paraId="1559D5E9">
      <w:pPr>
        <w:pStyle w:val="2"/>
      </w:pPr>
      <w:bookmarkStart w:id="8" w:name="总结"/>
      <w:r>
        <w:rPr>
          <w:rFonts w:hint="eastAsia"/>
        </w:rPr>
        <w:t>总结</w:t>
      </w:r>
    </w:p>
    <w:p w14:paraId="0EEEC7ED">
      <w:pPr>
        <w:pStyle w:val="13"/>
      </w:pPr>
      <w:r>
        <w:rPr>
          <w:rFonts w:hint="eastAsia"/>
        </w:rPr>
        <w:t>本轮修了</w:t>
      </w:r>
      <w:r>
        <w:rPr>
          <w:rFonts w:hint="eastAsia"/>
          <w:b/>
          <w:bCs/>
        </w:rPr>
        <w:t>表面</w:t>
      </w:r>
      <w:r>
        <w:rPr>
          <w:rFonts w:hint="eastAsia"/>
        </w:rPr>
        <w:t>（图表更清晰、承认了局限性、补充了对比实验），但</w:t>
      </w:r>
      <w:r>
        <w:rPr>
          <w:rFonts w:hint="eastAsia"/>
          <w:b/>
          <w:bCs/>
        </w:rPr>
        <w:t>根子没动</w:t>
      </w:r>
      <w:r>
        <w:rPr>
          <w:rFonts w:hint="eastAsia"/>
        </w:rPr>
        <w:t>：没有同一数据对比、没有真正的OOD测试、</w:t>
      </w:r>
      <m:oMath>
        <m:r>
          <m:rPr/>
          <m:t>N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从“隐含问题”变成“明示问题”却依然无解。框架本身有亮点（失败地图、灾难预演、不确定性分解都很好），但</w:t>
      </w:r>
      <w:r>
        <w:rPr>
          <w:rFonts w:hint="eastAsia"/>
          <w:b/>
          <w:bCs/>
        </w:rPr>
        <w:t>作为方法论文，核心验证缺口一个都没补上</w:t>
      </w:r>
      <w:r>
        <w:t>。</w:t>
      </w:r>
    </w:p>
    <w:p w14:paraId="29071D86">
      <w:pPr>
        <w:pStyle w:val="25"/>
        <w:rPr>
          <w:rFonts w:hint="eastAsia"/>
          <w:b/>
          <w:bCs/>
        </w:rPr>
      </w:pPr>
      <w:r>
        <w:rPr>
          <w:rFonts w:hint="eastAsia"/>
          <w:b/>
          <w:bCs/>
        </w:rPr>
        <w:t>建议：大修，要求补上同一数据对比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明确</w:t>
      </w:r>
      <m:oMath>
        <m:r>
          <m:rPr/>
          <m:t>N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  <w:b/>
          <w:bCs/>
        </w:rPr>
        <w:t>的局限性边界。</w:t>
      </w:r>
    </w:p>
    <w:p w14:paraId="28E5A393">
      <w:pPr>
        <w:pStyle w:val="3"/>
        <w:rPr>
          <w:rFonts w:hint="eastAsia"/>
          <w:b/>
          <w:bCs/>
        </w:rPr>
      </w:pPr>
    </w:p>
    <w:p w14:paraId="11E7BE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43427C"/>
          <w:spacing w:val="0"/>
        </w:rPr>
      </w:pPr>
      <w:r>
        <w:rPr>
          <w:rFonts w:hint="eastAsia" w:eastAsia="宋体"/>
          <w:b/>
          <w:bCs/>
          <w:lang w:val="en-US" w:eastAsia="zh-CN"/>
        </w:rPr>
        <w:t>审稿人二：</w:t>
      </w:r>
      <w:r>
        <w:rPr>
          <w:rFonts w:hint="eastAsia" w:eastAsia="宋体"/>
          <w:b/>
          <w:bCs/>
          <w:lang w:val="en-US" w:eastAsia="zh-CN"/>
        </w:rPr>
        <w:br w:type="textWrapping"/>
      </w:r>
      <w:r>
        <w:rPr>
          <w:rFonts w:hint="eastAsia" w:eastAsia="宋体"/>
          <w:b/>
          <w:bCs/>
          <w:lang w:val="en-US" w:eastAsia="zh-CN"/>
        </w:rPr>
        <w:br w:type="textWrapping"/>
      </w:r>
      <w:r>
        <w:rPr>
          <w:rStyle w:val="21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bdr w:val="none" w:color="auto" w:sz="0" w:space="0"/>
        </w:rPr>
        <w:t>待优化建议（针对下一版）</w:t>
      </w:r>
    </w:p>
    <w:p w14:paraId="6594E80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D68FE9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21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图表可读性</w:t>
      </w:r>
    </w:p>
    <w:p w14:paraId="3807F0B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4C8E1D4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图1（2I/Borisov 𝑄_𝑑对比）的坐标轴标签过小，建议增大字号。</w:t>
      </w:r>
    </w:p>
    <w:p w14:paraId="5C2AED7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表13（关键指标汇总）可合并“适用条件”与“性能值”列，提升可读性。</w:t>
      </w:r>
    </w:p>
    <w:p w14:paraId="491548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5A6D400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21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领域适应性验证</w:t>
      </w:r>
    </w:p>
    <w:p w14:paraId="6261CA2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28FFBB5F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当前</w:t>
      </w:r>
      <w:r>
        <w:rPr>
          <w:rStyle w:val="21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合成→真实数据MMD验证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仍依赖单样本（2I/Borisov）。建议在讨论中更明确强调：需LSST发现更多星际彗星后，才能闭合此验证缺口（§5.6）。</w:t>
      </w:r>
    </w:p>
    <w:p w14:paraId="7DCB2D2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3EEDD3B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21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代码可用性</w:t>
      </w:r>
    </w:p>
    <w:p w14:paraId="12E3FF3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1C96A8B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虽提供Docker环境，但</w:t>
      </w:r>
      <w:r>
        <w:rPr>
          <w:rStyle w:val="21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DIRTY辐射传输代码需独立获取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。建议在附录或GitHub README中添加配置示例。</w:t>
      </w:r>
    </w:p>
    <w:p w14:paraId="3B98E96A">
      <w:pPr>
        <w:pStyle w:val="3"/>
        <w:rPr>
          <w:rFonts w:hint="default" w:eastAsia="宋体"/>
          <w:b/>
          <w:bCs/>
          <w:lang w:val="en-US" w:eastAsia="zh-CN"/>
        </w:rPr>
      </w:pPr>
    </w:p>
    <w:p w14:paraId="3ECF91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eastAsia="宋体"/>
          <w:b/>
          <w:bCs/>
          <w:lang w:val="en-US" w:eastAsia="zh-CN"/>
        </w:rPr>
        <w:t>审稿人三</w:t>
      </w:r>
      <w:r>
        <w:rPr>
          <w:rFonts w:hint="eastAsia" w:eastAsia="宋体"/>
          <w:b/>
          <w:bCs/>
          <w:lang w:val="en-US" w:eastAsia="zh-CN"/>
        </w:rPr>
        <w:br w:type="textWrapping"/>
      </w:r>
      <w:r>
        <w:rPr>
          <w:rFonts w:hint="eastAsia" w:eastAsia="宋体"/>
          <w:b/>
          <w:bCs/>
          <w:lang w:val="en-US" w:eastAsia="zh-CN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仍需改进的方面</w:t>
      </w:r>
    </w:p>
    <w:p w14:paraId="79CB348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sans-serif" w:hAnsi="sans-serif" w:eastAsia="sans-serif" w:cs="sans-serif"/>
          <w:sz w:val="19"/>
          <w:szCs w:val="19"/>
        </w:rPr>
      </w:pPr>
    </w:p>
    <w:p w14:paraId="44D3942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0" w:right="0"/>
        <w:jc w:val="left"/>
        <w:rPr>
          <w:rFonts w:hint="default" w:ascii="sans-serif" w:hAnsi="sans-serif" w:eastAsia="sans-serif" w:cs="sans-serif"/>
          <w:sz w:val="19"/>
          <w:szCs w:val="19"/>
        </w:rPr>
      </w:pPr>
      <w:r>
        <w:rPr>
          <w:rStyle w:val="21"/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与经典融合方法的比较不足</w:t>
      </w:r>
    </w:p>
    <w:p w14:paraId="3C472B3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sans-serif" w:hAnsi="sans-serif" w:eastAsia="sans-serif" w:cs="sans-serif"/>
          <w:sz w:val="19"/>
          <w:szCs w:val="19"/>
        </w:rPr>
      </w:pPr>
    </w:p>
    <w:p w14:paraId="6138DF4D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sans-serif" w:hAnsi="sans-serif" w:eastAsia="sans-serif" w:cs="sans-serif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Table 2比较了架构，但缺乏</w:t>
      </w:r>
      <w:r>
        <w:rPr>
          <w:rStyle w:val="21"/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实验对比</w:t>
      </w:r>
    </w:p>
    <w:p w14:paraId="48AB6FD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sans-serif" w:hAnsi="sans-serif" w:eastAsia="sans-serif" w:cs="sans-serif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建议添加：与简单late fusion、卡尔曼滤波等基线的性能比较</w:t>
      </w:r>
    </w:p>
    <w:p w14:paraId="17C7DE1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sans-serif" w:hAnsi="sans-serif" w:eastAsia="sans-serif" w:cs="sans-serif"/>
          <w:sz w:val="19"/>
          <w:szCs w:val="19"/>
        </w:rPr>
      </w:pPr>
    </w:p>
    <w:p w14:paraId="6CD3D47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0" w:right="0"/>
        <w:jc w:val="left"/>
        <w:rPr>
          <w:rFonts w:hint="default" w:ascii="sans-serif" w:hAnsi="sans-serif" w:eastAsia="sans-serif" w:cs="sans-serif"/>
          <w:sz w:val="19"/>
          <w:szCs w:val="19"/>
        </w:rPr>
      </w:pPr>
      <w:r>
        <w:rPr>
          <w:rStyle w:val="21"/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计算效率讨论缺失</w:t>
      </w:r>
    </w:p>
    <w:p w14:paraId="754F23A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sans-serif" w:hAnsi="sans-serif" w:eastAsia="sans-serif" w:cs="sans-serif"/>
          <w:sz w:val="19"/>
          <w:szCs w:val="19"/>
        </w:rPr>
      </w:pPr>
    </w:p>
    <w:p w14:paraId="566B016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sans-serif" w:hAnsi="sans-serif" w:eastAsia="sans-serif" w:cs="sans-serif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IF读者关心融合算法的计算开销</w:t>
      </w:r>
    </w:p>
    <w:p w14:paraId="028BEE21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sans-serif" w:hAnsi="sans-serif" w:eastAsia="sans-serif" w:cs="sans-serif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建议添加：融合模块的FLOPs、推理时间分析</w:t>
      </w:r>
    </w:p>
    <w:p w14:paraId="0FBA263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sans-serif" w:hAnsi="sans-serif" w:eastAsia="sans-serif" w:cs="sans-serif"/>
          <w:sz w:val="19"/>
          <w:szCs w:val="19"/>
        </w:rPr>
      </w:pPr>
    </w:p>
    <w:p w14:paraId="71F932B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0" w:right="0"/>
        <w:jc w:val="left"/>
        <w:rPr>
          <w:rFonts w:hint="default" w:ascii="sans-serif" w:hAnsi="sans-serif" w:eastAsia="sans-serif" w:cs="sans-serif"/>
          <w:sz w:val="19"/>
          <w:szCs w:val="19"/>
        </w:rPr>
      </w:pPr>
      <w:r>
        <w:rPr>
          <w:rStyle w:val="21"/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真实传感器数据的局限性</w:t>
      </w:r>
    </w:p>
    <w:p w14:paraId="5449D58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sans-serif" w:hAnsi="sans-serif" w:eastAsia="sans-serif" w:cs="sans-serif"/>
          <w:sz w:val="19"/>
          <w:szCs w:val="19"/>
        </w:rPr>
      </w:pPr>
    </w:p>
    <w:p w14:paraId="15D76E56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sans-serif" w:hAnsi="sans-serif" w:eastAsia="sans-serif" w:cs="sans-serif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仍主要依赖合成数据</w:t>
      </w:r>
    </w:p>
    <w:p w14:paraId="6B2FD8DE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0" w:hanging="360"/>
        <w:jc w:val="left"/>
        <w:rPr>
          <w:rFonts w:hint="default" w:ascii="sans-serif" w:hAnsi="sans-serif" w:eastAsia="sans-serif" w:cs="sans-serif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IF偏好真实多传感器实验</w:t>
      </w:r>
    </w:p>
    <w:p w14:paraId="2AFA7D06">
      <w:pPr>
        <w:pStyle w:val="3"/>
        <w:rPr>
          <w:rFonts w:hint="default" w:eastAsia="宋体"/>
          <w:b/>
          <w:bCs/>
          <w:lang w:val="en-US" w:eastAsia="zh-CN"/>
        </w:rPr>
      </w:pPr>
    </w:p>
    <w:p w14:paraId="4B4A079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sz w:val="19"/>
          <w:szCs w:val="19"/>
        </w:rPr>
      </w:pPr>
      <w:r>
        <w:rPr>
          <w:rStyle w:val="21"/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风险：</w:t>
      </w:r>
    </w:p>
    <w:p w14:paraId="4EBDE72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sans-serif" w:hAnsi="sans-serif" w:eastAsia="sans-serif" w:cs="sans-serif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合成数据为主（40% desk reject风险）</w:t>
      </w:r>
    </w:p>
    <w:p w14:paraId="6C9BDD0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sans-serif" w:hAnsi="sans-serif" w:eastAsia="sans-serif" w:cs="sans-serif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缺乏与传统融合方法的实验对比</w:t>
      </w:r>
    </w:p>
    <w:p w14:paraId="0AA27BB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sans-serif" w:hAnsi="sans-serif" w:eastAsia="sans-serif" w:cs="sans-serif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天体物理背景可能让部分审稿人困惑</w:t>
      </w:r>
    </w:p>
    <w:p w14:paraId="0C3EA51A">
      <w:pPr>
        <w:pStyle w:val="3"/>
        <w:rPr>
          <w:rFonts w:hint="default" w:eastAsia="宋体"/>
          <w:b/>
          <w:bCs/>
          <w:lang w:val="en-US" w:eastAsia="zh-CN"/>
        </w:rPr>
      </w:pPr>
      <w:bookmarkStart w:id="9" w:name="_GoBack"/>
      <w:bookmarkEnd w:id="9"/>
    </w:p>
    <w:bookmarkEnd w:id="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BF257E"/>
    <w:multiLevelType w:val="multilevel"/>
    <w:tmpl w:val="86BF25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01CF0CE"/>
    <w:multiLevelType w:val="multilevel"/>
    <w:tmpl w:val="B01CF0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E16FB5D3"/>
    <w:multiLevelType w:val="multilevel"/>
    <w:tmpl w:val="E16FB5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50DC66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1">
    <w:name w:val="Strong"/>
    <w:basedOn w:val="20"/>
    <w:uiPriority w:val="0"/>
    <w:rPr>
      <w:b/>
    </w:rPr>
  </w:style>
  <w:style w:type="character" w:styleId="22">
    <w:name w:val="Hyperlink"/>
    <w:basedOn w:val="23"/>
    <w:uiPriority w:val="0"/>
    <w:rPr>
      <w:color w:val="156082" w:themeColor="accent1"/>
    </w:rPr>
  </w:style>
  <w:style w:type="character" w:customStyle="1" w:styleId="23">
    <w:name w:val="Body Text Char"/>
    <w:basedOn w:val="20"/>
    <w:link w:val="3"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0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20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0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20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0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0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0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0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uiPriority w:val="0"/>
  </w:style>
  <w:style w:type="paragraph" w:customStyle="1" w:styleId="46">
    <w:name w:val="Table Caption"/>
    <w:basedOn w:val="12"/>
    <w:uiPriority w:val="0"/>
    <w:pPr>
      <w:keepNext/>
    </w:pPr>
  </w:style>
  <w:style w:type="paragraph" w:customStyle="1" w:styleId="47">
    <w:name w:val="Image Caption"/>
    <w:basedOn w:val="12"/>
    <w:uiPriority w:val="0"/>
  </w:style>
  <w:style w:type="paragraph" w:customStyle="1" w:styleId="48">
    <w:name w:val="Figure"/>
    <w:basedOn w:val="1"/>
    <w:uiPriority w:val="0"/>
  </w:style>
  <w:style w:type="paragraph" w:customStyle="1" w:styleId="49">
    <w:name w:val="Captioned Figure"/>
    <w:basedOn w:val="48"/>
    <w:uiPriority w:val="0"/>
    <w:pPr>
      <w:keepNext/>
    </w:pPr>
  </w:style>
  <w:style w:type="character" w:customStyle="1" w:styleId="50">
    <w:name w:val="Verbatim Char"/>
    <w:basedOn w:val="23"/>
    <w:link w:val="51"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</w:pPr>
  </w:style>
  <w:style w:type="character" w:customStyle="1" w:styleId="52">
    <w:name w:val="Section Number"/>
    <w:basedOn w:val="23"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uiPriority w:val="0"/>
    <w:rPr>
      <w:b/>
      <w:color w:val="007020"/>
    </w:rPr>
  </w:style>
  <w:style w:type="character" w:customStyle="1" w:styleId="55">
    <w:name w:val="DataTypeTok"/>
    <w:basedOn w:val="50"/>
    <w:uiPriority w:val="0"/>
    <w:rPr>
      <w:color w:val="902000"/>
    </w:rPr>
  </w:style>
  <w:style w:type="character" w:customStyle="1" w:styleId="56">
    <w:name w:val="DecValTok"/>
    <w:basedOn w:val="50"/>
    <w:uiPriority w:val="0"/>
    <w:rPr>
      <w:color w:val="40A070"/>
    </w:rPr>
  </w:style>
  <w:style w:type="character" w:customStyle="1" w:styleId="57">
    <w:name w:val="BaseNTok"/>
    <w:basedOn w:val="50"/>
    <w:uiPriority w:val="0"/>
    <w:rPr>
      <w:color w:val="40A070"/>
    </w:rPr>
  </w:style>
  <w:style w:type="character" w:customStyle="1" w:styleId="58">
    <w:name w:val="FloatTok"/>
    <w:basedOn w:val="50"/>
    <w:uiPriority w:val="0"/>
    <w:rPr>
      <w:color w:val="40A070"/>
    </w:rPr>
  </w:style>
  <w:style w:type="character" w:customStyle="1" w:styleId="59">
    <w:name w:val="ConstantTok"/>
    <w:basedOn w:val="50"/>
    <w:uiPriority w:val="0"/>
    <w:rPr>
      <w:color w:val="880000"/>
    </w:rPr>
  </w:style>
  <w:style w:type="character" w:customStyle="1" w:styleId="60">
    <w:name w:val="CharTok"/>
    <w:basedOn w:val="50"/>
    <w:uiPriority w:val="0"/>
    <w:rPr>
      <w:color w:val="4070A0"/>
    </w:rPr>
  </w:style>
  <w:style w:type="character" w:customStyle="1" w:styleId="61">
    <w:name w:val="SpecialCharTok"/>
    <w:basedOn w:val="50"/>
    <w:uiPriority w:val="0"/>
    <w:rPr>
      <w:color w:val="4070A0"/>
    </w:rPr>
  </w:style>
  <w:style w:type="character" w:customStyle="1" w:styleId="62">
    <w:name w:val="StringTok"/>
    <w:basedOn w:val="50"/>
    <w:uiPriority w:val="0"/>
    <w:rPr>
      <w:color w:val="4070A0"/>
    </w:rPr>
  </w:style>
  <w:style w:type="character" w:customStyle="1" w:styleId="63">
    <w:name w:val="VerbatimStringTok"/>
    <w:basedOn w:val="50"/>
    <w:uiPriority w:val="0"/>
    <w:rPr>
      <w:color w:val="4070A0"/>
    </w:rPr>
  </w:style>
  <w:style w:type="character" w:customStyle="1" w:styleId="64">
    <w:name w:val="SpecialStringTok"/>
    <w:basedOn w:val="50"/>
    <w:uiPriority w:val="0"/>
    <w:rPr>
      <w:color w:val="BB6688"/>
    </w:rPr>
  </w:style>
  <w:style w:type="character" w:customStyle="1" w:styleId="65">
    <w:name w:val="ImportTok"/>
    <w:basedOn w:val="50"/>
    <w:uiPriority w:val="0"/>
    <w:rPr>
      <w:b/>
      <w:color w:val="008000"/>
    </w:rPr>
  </w:style>
  <w:style w:type="character" w:customStyle="1" w:styleId="66">
    <w:name w:val="CommentTok"/>
    <w:basedOn w:val="50"/>
    <w:uiPriority w:val="0"/>
    <w:rPr>
      <w:i/>
      <w:color w:val="60A0B0"/>
    </w:rPr>
  </w:style>
  <w:style w:type="character" w:customStyle="1" w:styleId="67">
    <w:name w:val="DocumentationTok"/>
    <w:basedOn w:val="50"/>
    <w:uiPriority w:val="0"/>
    <w:rPr>
      <w:i/>
      <w:color w:val="BA2121"/>
    </w:rPr>
  </w:style>
  <w:style w:type="character" w:customStyle="1" w:styleId="68">
    <w:name w:val="AnnotationTok"/>
    <w:basedOn w:val="50"/>
    <w:uiPriority w:val="0"/>
    <w:rPr>
      <w:b/>
      <w:i/>
      <w:color w:val="60A0B0"/>
    </w:rPr>
  </w:style>
  <w:style w:type="character" w:customStyle="1" w:styleId="69">
    <w:name w:val="CommentVarTok"/>
    <w:basedOn w:val="50"/>
    <w:uiPriority w:val="0"/>
    <w:rPr>
      <w:b/>
      <w:i/>
      <w:color w:val="60A0B0"/>
    </w:rPr>
  </w:style>
  <w:style w:type="character" w:customStyle="1" w:styleId="70">
    <w:name w:val="OtherTok"/>
    <w:basedOn w:val="50"/>
    <w:uiPriority w:val="0"/>
    <w:rPr>
      <w:color w:val="007020"/>
    </w:rPr>
  </w:style>
  <w:style w:type="character" w:customStyle="1" w:styleId="71">
    <w:name w:val="FunctionTok"/>
    <w:basedOn w:val="50"/>
    <w:uiPriority w:val="0"/>
    <w:rPr>
      <w:color w:val="06287E"/>
    </w:rPr>
  </w:style>
  <w:style w:type="character" w:customStyle="1" w:styleId="72">
    <w:name w:val="VariableTok"/>
    <w:basedOn w:val="50"/>
    <w:uiPriority w:val="0"/>
    <w:rPr>
      <w:color w:val="19177C"/>
    </w:rPr>
  </w:style>
  <w:style w:type="character" w:customStyle="1" w:styleId="73">
    <w:name w:val="ControlFlowTok"/>
    <w:basedOn w:val="50"/>
    <w:uiPriority w:val="0"/>
    <w:rPr>
      <w:b/>
      <w:color w:val="007020"/>
    </w:rPr>
  </w:style>
  <w:style w:type="character" w:customStyle="1" w:styleId="74">
    <w:name w:val="OperatorTok"/>
    <w:basedOn w:val="50"/>
    <w:uiPriority w:val="0"/>
    <w:rPr>
      <w:color w:val="666666"/>
    </w:rPr>
  </w:style>
  <w:style w:type="character" w:customStyle="1" w:styleId="75">
    <w:name w:val="BuiltInTok"/>
    <w:basedOn w:val="50"/>
    <w:uiPriority w:val="0"/>
    <w:rPr>
      <w:color w:val="008000"/>
    </w:rPr>
  </w:style>
  <w:style w:type="character" w:customStyle="1" w:styleId="76">
    <w:name w:val="ExtensionTok"/>
    <w:basedOn w:val="50"/>
    <w:uiPriority w:val="0"/>
  </w:style>
  <w:style w:type="character" w:customStyle="1" w:styleId="77">
    <w:name w:val="PreprocessorTok"/>
    <w:basedOn w:val="50"/>
    <w:uiPriority w:val="0"/>
    <w:rPr>
      <w:color w:val="BC7A00"/>
    </w:rPr>
  </w:style>
  <w:style w:type="character" w:customStyle="1" w:styleId="78">
    <w:name w:val="AttributeTok"/>
    <w:basedOn w:val="50"/>
    <w:uiPriority w:val="0"/>
    <w:rPr>
      <w:color w:val="7D9029"/>
    </w:rPr>
  </w:style>
  <w:style w:type="character" w:customStyle="1" w:styleId="79">
    <w:name w:val="RegionMarkerTok"/>
    <w:basedOn w:val="50"/>
    <w:uiPriority w:val="0"/>
  </w:style>
  <w:style w:type="character" w:customStyle="1" w:styleId="80">
    <w:name w:val="InformationTok"/>
    <w:basedOn w:val="50"/>
    <w:uiPriority w:val="0"/>
    <w:rPr>
      <w:b/>
      <w:i/>
      <w:color w:val="60A0B0"/>
    </w:rPr>
  </w:style>
  <w:style w:type="character" w:customStyle="1" w:styleId="81">
    <w:name w:val="WarningTok"/>
    <w:basedOn w:val="50"/>
    <w:uiPriority w:val="0"/>
    <w:rPr>
      <w:b/>
      <w:i/>
      <w:color w:val="60A0B0"/>
    </w:rPr>
  </w:style>
  <w:style w:type="character" w:customStyle="1" w:styleId="82">
    <w:name w:val="AlertTok"/>
    <w:basedOn w:val="50"/>
    <w:uiPriority w:val="0"/>
    <w:rPr>
      <w:b/>
      <w:color w:val="FF0000"/>
    </w:rPr>
  </w:style>
  <w:style w:type="character" w:customStyle="1" w:styleId="83">
    <w:name w:val="ErrorTok"/>
    <w:basedOn w:val="50"/>
    <w:uiPriority w:val="0"/>
    <w:rPr>
      <w:b/>
      <w:color w:val="FF0000"/>
    </w:rPr>
  </w:style>
  <w:style w:type="character" w:customStyle="1" w:styleId="84">
    <w:name w:val="NormalTok"/>
    <w:basedOn w:val="50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697</Words>
  <Characters>983</Characters>
  <Lines>12</Lines>
  <Paragraphs>8</Paragraphs>
  <TotalTime>9</TotalTime>
  <ScaleCrop>false</ScaleCrop>
  <LinksUpToDate>false</LinksUpToDate>
  <CharactersWithSpaces>1031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2026-05-22T01:26:00Z</dcterms:created>
  <dc:creator>Reviewer</dc:creator>
  <cp:lastModifiedBy>陈智磊</cp:lastModifiedBy>
  <dcterms:modified xsi:type="dcterms:W3CDTF">2026-05-22T01:29:46Z</dcterms:modified>
  <dc:title>审稿意见（中文版）— 第三轮审阅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  <property fmtid="{D5CDD505-2E9C-101B-9397-08002B2CF9AE}" pid="3" name="KSOTemplateDocerSaveRecord">
    <vt:lpwstr>eyJoZGlkIjoiM2QxMzQ1NmNiYWQ2ZWEyN2EzYjg0OTM4M2FmNjM4MDEiLCJ1c2VySWQiOiIxNzQ0NDIwODU5In0=</vt:lpwstr>
  </property>
  <property fmtid="{D5CDD505-2E9C-101B-9397-08002B2CF9AE}" pid="4" name="KSOProductBuildVer">
    <vt:lpwstr>2052-12.1.0.23542</vt:lpwstr>
  </property>
  <property fmtid="{D5CDD505-2E9C-101B-9397-08002B2CF9AE}" pid="5" name="ICV">
    <vt:lpwstr>91BC8FDE79314750BED93ADD70B493FF_12</vt:lpwstr>
  </property>
</Properties>
</file>