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71F7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kern w:val="0"/>
          <w:sz w:val="24"/>
          <w:szCs w:val="24"/>
        </w:rPr>
        <w:t>笔记内容：面向912考试，基于912真题和THU期末题以及之前做的重点笔记综合而成的更加凝练的笔记。</w:t>
      </w:r>
    </w:p>
    <w:p w14:paraId="1AB3D3F2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kern w:val="0"/>
          <w:sz w:val="24"/>
          <w:szCs w:val="24"/>
        </w:rPr>
        <w:t>适合于最后冲刺阶段经常翻看。</w:t>
      </w:r>
    </w:p>
    <w:p w14:paraId="7FD69BC4" w14:textId="77777777" w:rsidR="00C32602" w:rsidRPr="00C32602" w:rsidRDefault="00C32602" w:rsidP="00C32602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C32602">
        <w:rPr>
          <w:rFonts w:ascii="宋体" w:eastAsia="宋体" w:hAnsi="宋体" w:cs="宋体"/>
          <w:b/>
          <w:bCs/>
          <w:kern w:val="36"/>
          <w:sz w:val="42"/>
          <w:szCs w:val="42"/>
        </w:rPr>
        <w:t>物理层</w:t>
      </w:r>
    </w:p>
    <w:p w14:paraId="67229886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722ED1"/>
          <w:kern w:val="0"/>
          <w:sz w:val="24"/>
          <w:szCs w:val="24"/>
          <w:u w:val="single"/>
        </w:rPr>
        <w:t>中继器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，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  <w:u w:val="single"/>
        </w:rPr>
        <w:t>集线器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都只工作在物理层。</w:t>
      </w:r>
    </w:p>
    <w:p w14:paraId="3542434B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333333"/>
          <w:kern w:val="0"/>
          <w:sz w:val="24"/>
          <w:szCs w:val="24"/>
        </w:rPr>
        <w:t>数据在</w:t>
      </w:r>
      <w:r w:rsidRPr="00C32602">
        <w:rPr>
          <w:rFonts w:ascii="宋体" w:eastAsia="宋体" w:hAnsi="宋体" w:cs="宋体"/>
          <w:color w:val="333333"/>
          <w:kern w:val="0"/>
          <w:sz w:val="24"/>
          <w:szCs w:val="24"/>
          <w:u w:val="single"/>
        </w:rPr>
        <w:t>模拟电路</w:t>
      </w:r>
      <w:r w:rsidRPr="00C32602">
        <w:rPr>
          <w:rFonts w:ascii="宋体" w:eastAsia="宋体" w:hAnsi="宋体" w:cs="宋体"/>
          <w:color w:val="333333"/>
          <w:kern w:val="0"/>
          <w:sz w:val="24"/>
          <w:szCs w:val="24"/>
        </w:rPr>
        <w:t>中传播需要的设备是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  <w:u w:val="single"/>
        </w:rPr>
        <w:t>调制解调器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。</w:t>
      </w:r>
    </w:p>
    <w:p w14:paraId="4A1C5C54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奈</w:t>
      </w:r>
      <w:proofErr w:type="gramStart"/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奎</w:t>
      </w:r>
      <w:proofErr w:type="gramEnd"/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斯特定理适用于任何信道，不管是</w:t>
      </w:r>
      <w:r w:rsidRPr="00C32602">
        <w:rPr>
          <w:rFonts w:ascii="宋体" w:eastAsia="宋体" w:hAnsi="宋体" w:cs="宋体"/>
          <w:kern w:val="0"/>
          <w:sz w:val="24"/>
          <w:szCs w:val="24"/>
        </w:rPr>
        <w:t>光纤、同轴电缆还是红外线。</w:t>
      </w:r>
    </w:p>
    <w:p w14:paraId="3D0ED251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物理层的四个特性：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  <w:u w:val="single"/>
        </w:rPr>
        <w:t>机械特性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、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  <w:u w:val="single"/>
        </w:rPr>
        <w:t>电气特性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、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  <w:u w:val="single"/>
        </w:rPr>
        <w:t>功能特性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、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  <w:u w:val="single"/>
        </w:rPr>
        <w:t>规程特性</w:t>
      </w: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7CA7320F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信噪比 = 信号的平局功率/噪声的平均功率，常记位S/N，并未分贝（dB）作为度量单位，即：</w:t>
      </w:r>
    </w:p>
    <w:p w14:paraId="353851FA" w14:textId="2F527C6E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信噪比(dB) =</w:t>
      </w:r>
      <w:r w:rsidRPr="00C326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32602">
        <w:rPr>
          <w:rFonts w:ascii="宋体" w:eastAsia="宋体" w:hAnsi="宋体" w:cs="宋体"/>
          <w:noProof/>
          <w:color w:val="722ED1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6A3095C" wp14:editId="77DB3378">
                <wp:extent cx="302895" cy="302895"/>
                <wp:effectExtent l="0" t="0" r="0" b="0"/>
                <wp:docPr id="156520255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F46DF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> 数值等价</w:t>
      </w:r>
    </w:p>
    <w:p w14:paraId="4CADA648" w14:textId="77777777" w:rsidR="00C32602" w:rsidRPr="00C32602" w:rsidRDefault="00C32602" w:rsidP="00C32602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C32602">
        <w:rPr>
          <w:rFonts w:ascii="宋体" w:eastAsia="宋体" w:hAnsi="宋体" w:cs="宋体"/>
          <w:b/>
          <w:bCs/>
          <w:kern w:val="36"/>
          <w:sz w:val="42"/>
          <w:szCs w:val="42"/>
        </w:rPr>
        <w:t>数据链路层</w:t>
      </w:r>
    </w:p>
    <w:p w14:paraId="3CD0F66B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kern w:val="0"/>
          <w:sz w:val="24"/>
          <w:szCs w:val="24"/>
        </w:rPr>
        <w:t>数据链路层协议应提供的</w:t>
      </w:r>
      <w:r w:rsidRPr="00C32602">
        <w:rPr>
          <w:rFonts w:ascii="宋体" w:eastAsia="宋体" w:hAnsi="宋体" w:cs="宋体"/>
          <w:b/>
          <w:bCs/>
          <w:kern w:val="0"/>
          <w:sz w:val="24"/>
          <w:szCs w:val="24"/>
        </w:rPr>
        <w:t>基本功能：</w:t>
      </w:r>
    </w:p>
    <w:p w14:paraId="378A2DAE" w14:textId="77777777" w:rsidR="00C32602" w:rsidRPr="00C32602" w:rsidRDefault="00C32602" w:rsidP="00C326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kern w:val="0"/>
          <w:sz w:val="24"/>
          <w:szCs w:val="24"/>
          <w:u w:val="single"/>
        </w:rPr>
        <w:t>数据在数据链路上的正常传输</w:t>
      </w:r>
      <w:r w:rsidRPr="00C32602">
        <w:rPr>
          <w:rFonts w:ascii="宋体" w:eastAsia="宋体" w:hAnsi="宋体" w:cs="宋体"/>
          <w:kern w:val="0"/>
          <w:sz w:val="24"/>
          <w:szCs w:val="24"/>
        </w:rPr>
        <w:t>（建立、维护和释放）</w:t>
      </w:r>
    </w:p>
    <w:p w14:paraId="4B0738A3" w14:textId="77777777" w:rsidR="00C32602" w:rsidRPr="00C32602" w:rsidRDefault="00C32602" w:rsidP="00C326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kern w:val="0"/>
          <w:sz w:val="24"/>
          <w:szCs w:val="24"/>
          <w:u w:val="single"/>
        </w:rPr>
        <w:t>组帧</w:t>
      </w:r>
      <w:r w:rsidRPr="00C32602">
        <w:rPr>
          <w:rFonts w:ascii="宋体" w:eastAsia="宋体" w:hAnsi="宋体" w:cs="宋体"/>
          <w:kern w:val="0"/>
          <w:sz w:val="24"/>
          <w:szCs w:val="24"/>
        </w:rPr>
        <w:t>：定界与同步，处理透明传输问题</w:t>
      </w:r>
    </w:p>
    <w:p w14:paraId="6F14A98B" w14:textId="77777777" w:rsidR="00C32602" w:rsidRPr="00C32602" w:rsidRDefault="00C32602" w:rsidP="00C326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kern w:val="0"/>
          <w:sz w:val="24"/>
          <w:szCs w:val="24"/>
          <w:u w:val="single"/>
        </w:rPr>
        <w:t>差错控制</w:t>
      </w:r>
      <w:r w:rsidRPr="00C32602">
        <w:rPr>
          <w:rFonts w:ascii="宋体" w:eastAsia="宋体" w:hAnsi="宋体" w:cs="宋体"/>
          <w:kern w:val="0"/>
          <w:sz w:val="24"/>
          <w:szCs w:val="24"/>
        </w:rPr>
        <w:t>：检错和纠错</w:t>
      </w:r>
    </w:p>
    <w:p w14:paraId="06B91BA8" w14:textId="77777777" w:rsidR="00C32602" w:rsidRPr="00C32602" w:rsidRDefault="00C32602" w:rsidP="00C326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kern w:val="0"/>
          <w:sz w:val="24"/>
          <w:szCs w:val="24"/>
        </w:rPr>
        <w:t>顺序控制（可选）</w:t>
      </w:r>
    </w:p>
    <w:p w14:paraId="0666ADB6" w14:textId="77777777" w:rsidR="00C32602" w:rsidRPr="00C32602" w:rsidRDefault="00C32602" w:rsidP="00C326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kern w:val="0"/>
          <w:sz w:val="24"/>
          <w:szCs w:val="24"/>
        </w:rPr>
        <w:t>流量控制（可选）：基于反馈机制</w:t>
      </w:r>
    </w:p>
    <w:p w14:paraId="2C22E301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6B6691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1-坚持、非坚持、p 坚持的含义</w:t>
      </w:r>
    </w:p>
    <w:p w14:paraId="204AB446" w14:textId="45B915C1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7AB01F6" wp14:editId="290F2988">
            <wp:extent cx="3526790" cy="2315845"/>
            <wp:effectExtent l="0" t="0" r="0" b="8255"/>
            <wp:docPr id="1536097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a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6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7717A8" wp14:editId="30F9FAA3">
            <wp:extent cx="5274310" cy="1543685"/>
            <wp:effectExtent l="0" t="0" r="2540" b="0"/>
            <wp:docPr id="295141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6ww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B4F9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15A29A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PPP 协议的特点</w:t>
      </w:r>
    </w:p>
    <w:p w14:paraId="770BC861" w14:textId="4E787F15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D340FB" wp14:editId="48FA8977">
            <wp:extent cx="3705225" cy="2523490"/>
            <wp:effectExtent l="0" t="0" r="9525" b="0"/>
            <wp:docPr id="1251137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4E9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3AA9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BE1DF6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10M以太网的波特率 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  <w:u w:val="single"/>
        </w:rPr>
        <w:t>20M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 xml:space="preserve"> </w:t>
      </w: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baud。</w:t>
      </w:r>
    </w:p>
    <w:p w14:paraId="0E906BE5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后退N</w:t>
      </w:r>
      <w:proofErr w:type="gramStart"/>
      <w:r w:rsidRPr="00C3260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帧协议</w:t>
      </w:r>
      <w:proofErr w:type="gramEnd"/>
      <w:r w:rsidRPr="00C3260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GBN/退后n帧重传</w:t>
      </w:r>
    </w:p>
    <w:p w14:paraId="5587D7AD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GBN协议中，对n</w:t>
      </w:r>
      <w:proofErr w:type="gramStart"/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号帧的</w:t>
      </w:r>
      <w:proofErr w:type="gramEnd"/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确认采用</w:t>
      </w:r>
      <w:r w:rsidRPr="00C32602">
        <w:rPr>
          <w:rFonts w:ascii="宋体" w:eastAsia="宋体" w:hAnsi="宋体" w:cs="宋体"/>
          <w:color w:val="F5222D"/>
          <w:kern w:val="0"/>
          <w:sz w:val="24"/>
          <w:szCs w:val="24"/>
          <w:u w:val="single"/>
        </w:rPr>
        <w:t>累计确认</w:t>
      </w: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的方式，表明接收方已经收到n</w:t>
      </w:r>
      <w:proofErr w:type="gramStart"/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号帧和</w:t>
      </w:r>
      <w:proofErr w:type="gramEnd"/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它之前的全部帧。</w:t>
      </w:r>
    </w:p>
    <w:p w14:paraId="5769FD7C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选择重传协议</w:t>
      </w:r>
    </w:p>
    <w:p w14:paraId="182E5EA2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当发送窗口尺寸 &gt;= 接收窗口尺寸，则接收窗口尺寸最大值为 ：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(</w:t>
      </w:r>
      <w:proofErr w:type="spellStart"/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MaxSeq</w:t>
      </w:r>
      <w:proofErr w:type="spellEnd"/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 xml:space="preserve"> + 1)/ 2</w:t>
      </w:r>
    </w:p>
    <w:p w14:paraId="45F1257F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当发送窗口尺寸 &lt; 接收窗口尺寸，要求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发送窗口尺寸 + 接收窗口尺寸 &lt;=序号个数</w:t>
      </w:r>
    </w:p>
    <w:p w14:paraId="4F385F43" w14:textId="77777777" w:rsidR="00C32602" w:rsidRPr="00C32602" w:rsidRDefault="00C32602" w:rsidP="00C32602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C32602">
        <w:rPr>
          <w:rFonts w:ascii="宋体" w:eastAsia="宋体" w:hAnsi="宋体" w:cs="宋体"/>
          <w:b/>
          <w:bCs/>
          <w:kern w:val="36"/>
          <w:sz w:val="42"/>
          <w:szCs w:val="42"/>
        </w:rPr>
        <w:t>网络层</w:t>
      </w:r>
    </w:p>
    <w:p w14:paraId="40AB7D48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在局域网中，解决多网桥互联的回路问题所采用的方式是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生成树网桥</w:t>
      </w:r>
      <w:r w:rsidRPr="00C32602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14:paraId="0DF21B3C" w14:textId="77777777" w:rsidR="00C32602" w:rsidRPr="00C32602" w:rsidRDefault="00C32602" w:rsidP="00C32602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C32602">
        <w:rPr>
          <w:rFonts w:ascii="宋体" w:eastAsia="宋体" w:hAnsi="宋体" w:cs="宋体"/>
          <w:b/>
          <w:bCs/>
          <w:kern w:val="36"/>
          <w:sz w:val="42"/>
          <w:szCs w:val="42"/>
        </w:rPr>
        <w:t>传输层</w:t>
      </w:r>
    </w:p>
    <w:p w14:paraId="1C0B8BBD" w14:textId="0B5D6A2A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709275" wp14:editId="5CA39A25">
            <wp:extent cx="5142230" cy="2618740"/>
            <wp:effectExtent l="0" t="0" r="1270" b="0"/>
            <wp:docPr id="1671379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Q8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9B52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OSI从上到下是 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应用层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</w:rPr>
        <w:t>，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表示层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</w:rPr>
        <w:t>，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会话层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</w:rPr>
        <w:t>，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传输层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</w:rPr>
        <w:t>，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网络层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</w:rPr>
        <w:t>，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数据链路层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</w:rPr>
        <w:t>，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物理层</w:t>
      </w: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。</w:t>
      </w:r>
    </w:p>
    <w:p w14:paraId="52DF3B1B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TCP/IP 从上到下是 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应用层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</w:rPr>
        <w:t>，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传输层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</w:rPr>
        <w:t xml:space="preserve"> ，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网际层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</w:rPr>
        <w:t>，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 xml:space="preserve">网络接口层 </w:t>
      </w: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58EB5BFE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333333"/>
          <w:kern w:val="0"/>
          <w:sz w:val="24"/>
          <w:szCs w:val="24"/>
        </w:rPr>
        <w:t>TCP中，拥塞窗口大小W（窗口为m时发</w:t>
      </w:r>
      <w:r w:rsidRPr="00C32602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⽣</w:t>
      </w:r>
      <w:r w:rsidRPr="00C326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拥塞），最大发送段长</w:t>
      </w:r>
      <w:r w:rsidRPr="00C32602">
        <w:rPr>
          <w:rFonts w:ascii="宋体" w:eastAsia="宋体" w:hAnsi="宋体" w:cs="宋体"/>
          <w:color w:val="333333"/>
          <w:kern w:val="0"/>
          <w:sz w:val="24"/>
          <w:szCs w:val="24"/>
        </w:rPr>
        <w:t>MSS，给RTT，发送</w:t>
      </w:r>
      <w:r w:rsidRPr="00C32602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⽅</w:t>
      </w:r>
      <w:r w:rsidRPr="00C326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有</w:t>
      </w:r>
      <w:r w:rsidRPr="00C32602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⾜</w:t>
      </w:r>
      <w:r w:rsidRPr="00C326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够多的数据要发，求算出平均速率近似是多少</w:t>
      </w: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835004E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F5222D"/>
          <w:kern w:val="0"/>
          <w:sz w:val="24"/>
          <w:szCs w:val="24"/>
        </w:rPr>
        <w:t>答：</w:t>
      </w:r>
      <w:r w:rsidRPr="00C32602">
        <w:rPr>
          <w:rFonts w:ascii="宋体" w:eastAsia="宋体" w:hAnsi="宋体" w:cs="宋体"/>
          <w:color w:val="722ED1"/>
          <w:kern w:val="0"/>
          <w:sz w:val="24"/>
          <w:szCs w:val="24"/>
        </w:rPr>
        <w:t xml:space="preserve">本题记住结论，平均速率近似等于 </w:t>
      </w:r>
      <w:r w:rsidRPr="00C32602">
        <w:rPr>
          <w:rFonts w:ascii="宋体" w:eastAsia="宋体" w:hAnsi="宋体" w:cs="宋体"/>
          <w:b/>
          <w:bCs/>
          <w:color w:val="722ED1"/>
          <w:kern w:val="0"/>
          <w:sz w:val="24"/>
          <w:szCs w:val="24"/>
        </w:rPr>
        <w:t xml:space="preserve">= </w:t>
      </w:r>
      <w:r w:rsidRPr="00C32602">
        <w:rPr>
          <w:rFonts w:ascii="宋体" w:eastAsia="宋体" w:hAnsi="宋体" w:cs="宋体"/>
          <w:b/>
          <w:bCs/>
          <w:color w:val="722ED1"/>
          <w:kern w:val="0"/>
          <w:sz w:val="24"/>
          <w:szCs w:val="24"/>
          <w:shd w:val="clear" w:color="auto" w:fill="FADB14"/>
        </w:rPr>
        <w:t xml:space="preserve">0.75 W*MSS/RTT </w:t>
      </w:r>
    </w:p>
    <w:p w14:paraId="045992CC" w14:textId="77777777" w:rsidR="00C32602" w:rsidRPr="00C32602" w:rsidRDefault="00C32602" w:rsidP="00C32602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C32602">
        <w:rPr>
          <w:rFonts w:ascii="宋体" w:eastAsia="宋体" w:hAnsi="宋体" w:cs="宋体"/>
          <w:b/>
          <w:bCs/>
          <w:kern w:val="36"/>
          <w:sz w:val="42"/>
          <w:szCs w:val="42"/>
        </w:rPr>
        <w:t>应用层</w:t>
      </w:r>
    </w:p>
    <w:p w14:paraId="7B614325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DNS的资源记录是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五元组</w:t>
      </w: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5D59D4A1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SNMP 协议具有性能管理，故障管理，配置管理，记账管理和安全管理 。</w:t>
      </w:r>
    </w:p>
    <w:p w14:paraId="5A3F1DCC" w14:textId="77777777" w:rsidR="00C32602" w:rsidRPr="00C32602" w:rsidRDefault="00C32602" w:rsidP="00C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SNMP是基于</w:t>
      </w:r>
      <w:r w:rsidRPr="00C32602">
        <w:rPr>
          <w:rFonts w:ascii="宋体" w:eastAsia="宋体" w:hAnsi="宋体" w:cs="宋体"/>
          <w:color w:val="2F54EB"/>
          <w:kern w:val="0"/>
          <w:sz w:val="24"/>
          <w:szCs w:val="24"/>
          <w:u w:val="single"/>
        </w:rPr>
        <w:t>UDP</w:t>
      </w:r>
      <w:r w:rsidRPr="00C3260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11B9324E" w14:textId="77777777" w:rsidR="0081088A" w:rsidRPr="00C32602" w:rsidRDefault="0081088A"/>
    <w:sectPr w:rsidR="0081088A" w:rsidRPr="00C3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1215" w14:textId="77777777" w:rsidR="002F0C75" w:rsidRDefault="002F0C75" w:rsidP="00C32602">
      <w:r>
        <w:separator/>
      </w:r>
    </w:p>
  </w:endnote>
  <w:endnote w:type="continuationSeparator" w:id="0">
    <w:p w14:paraId="11D08E21" w14:textId="77777777" w:rsidR="002F0C75" w:rsidRDefault="002F0C75" w:rsidP="00C3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CE03" w14:textId="77777777" w:rsidR="002F0C75" w:rsidRDefault="002F0C75" w:rsidP="00C32602">
      <w:r>
        <w:separator/>
      </w:r>
    </w:p>
  </w:footnote>
  <w:footnote w:type="continuationSeparator" w:id="0">
    <w:p w14:paraId="0A2999F6" w14:textId="77777777" w:rsidR="002F0C75" w:rsidRDefault="002F0C75" w:rsidP="00C32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70F5C"/>
    <w:multiLevelType w:val="multilevel"/>
    <w:tmpl w:val="CD86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98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6D"/>
    <w:rsid w:val="002F0C75"/>
    <w:rsid w:val="0081088A"/>
    <w:rsid w:val="00C32602"/>
    <w:rsid w:val="00CB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07EC92-C6B9-4C35-8CBC-E93A9C98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326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26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2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260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3260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ne-p">
    <w:name w:val="ne-p"/>
    <w:basedOn w:val="Normal"/>
    <w:rsid w:val="00C32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DefaultParagraphFont"/>
    <w:rsid w:val="00C3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6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77932800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志扬</dc:creator>
  <cp:keywords/>
  <dc:description/>
  <cp:lastModifiedBy>陈 志扬</cp:lastModifiedBy>
  <cp:revision>2</cp:revision>
  <dcterms:created xsi:type="dcterms:W3CDTF">2023-10-28T11:52:00Z</dcterms:created>
  <dcterms:modified xsi:type="dcterms:W3CDTF">2023-10-28T11:52:00Z</dcterms:modified>
</cp:coreProperties>
</file>