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80DA1" w14:textId="77777777" w:rsidR="00D272D6" w:rsidRDefault="00D272D6">
      <w:pPr>
        <w:spacing w:line="360" w:lineRule="auto"/>
        <w:ind w:firstLineChars="200" w:firstLine="562"/>
        <w:rPr>
          <w:rFonts w:ascii="仿宋_GB2312" w:eastAsia="仿宋_GB2312" w:hAnsi="宋体" w:hint="eastAsia"/>
          <w:b/>
          <w:sz w:val="28"/>
        </w:rPr>
      </w:pPr>
    </w:p>
    <w:p w14:paraId="2B1FC1B7" w14:textId="77777777" w:rsidR="00D272D6" w:rsidRDefault="00D272D6">
      <w:pPr>
        <w:spacing w:line="360" w:lineRule="auto"/>
        <w:ind w:firstLineChars="200" w:firstLine="562"/>
        <w:rPr>
          <w:rFonts w:ascii="仿宋_GB2312" w:eastAsia="仿宋_GB2312" w:hAnsi="宋体" w:hint="eastAsia"/>
          <w:b/>
          <w:sz w:val="28"/>
        </w:rPr>
      </w:pPr>
    </w:p>
    <w:p w14:paraId="7C57565B" w14:textId="77777777" w:rsidR="00D272D6" w:rsidRDefault="00000000">
      <w:pPr>
        <w:jc w:val="center"/>
        <w:rPr>
          <w:rFonts w:ascii="宋体" w:hAnsi="宋体" w:hint="eastAsia"/>
          <w:b/>
          <w:sz w:val="72"/>
          <w:szCs w:val="72"/>
        </w:rPr>
      </w:pPr>
      <w:commentRangeStart w:id="0"/>
      <w:r>
        <w:rPr>
          <w:rFonts w:ascii="楷体_GB2312" w:eastAsia="楷体_GB2312" w:hAnsi="宋体" w:hint="eastAsia"/>
          <w:b/>
          <w:spacing w:val="-20"/>
          <w:sz w:val="72"/>
          <w:szCs w:val="72"/>
        </w:rPr>
        <w:t>广州商学院</w:t>
      </w:r>
    </w:p>
    <w:p w14:paraId="3D98C8D6" w14:textId="77777777" w:rsidR="00D272D6" w:rsidRDefault="00D272D6">
      <w:pPr>
        <w:rPr>
          <w:rFonts w:ascii="宋体" w:hAnsi="宋体" w:hint="eastAsia"/>
          <w:b/>
          <w:sz w:val="72"/>
          <w:szCs w:val="72"/>
        </w:rPr>
      </w:pPr>
    </w:p>
    <w:p w14:paraId="295D8340" w14:textId="77777777" w:rsidR="00D272D6" w:rsidRDefault="00000000">
      <w:pPr>
        <w:jc w:val="center"/>
        <w:rPr>
          <w:rFonts w:ascii="宋体" w:hAnsi="宋体" w:hint="eastAsia"/>
          <w:b/>
          <w:sz w:val="72"/>
          <w:szCs w:val="72"/>
        </w:rPr>
      </w:pPr>
      <w:r>
        <w:rPr>
          <w:rFonts w:ascii="楷体_GB2312" w:eastAsia="楷体_GB2312" w:hAnsi="宋体" w:hint="eastAsia"/>
          <w:b/>
          <w:spacing w:val="-20"/>
          <w:w w:val="130"/>
          <w:position w:val="-6"/>
          <w:sz w:val="72"/>
          <w:szCs w:val="72"/>
        </w:rPr>
        <w:t>课 程 论 文</w:t>
      </w:r>
      <w:commentRangeEnd w:id="0"/>
      <w:r>
        <w:rPr>
          <w:rStyle w:val="af3"/>
          <w:rFonts w:ascii="宋体" w:hAnsi="宋体" w:hint="eastAsia"/>
          <w:b/>
          <w:sz w:val="72"/>
          <w:szCs w:val="72"/>
        </w:rPr>
        <w:commentReference w:id="0"/>
      </w:r>
    </w:p>
    <w:p w14:paraId="0380E8FF" w14:textId="77777777" w:rsidR="00D272D6" w:rsidRDefault="00D272D6">
      <w:pPr>
        <w:rPr>
          <w:rFonts w:ascii="黑体" w:eastAsia="黑体"/>
        </w:rPr>
      </w:pPr>
    </w:p>
    <w:p w14:paraId="037741B4" w14:textId="77777777" w:rsidR="00D272D6" w:rsidRDefault="00000000">
      <w:pPr>
        <w:rPr>
          <w:rFonts w:ascii="黑体" w:eastAsia="黑体"/>
        </w:rPr>
      </w:pPr>
      <w:r>
        <w:rPr>
          <w:rFonts w:ascii="黑体" w:eastAsia="黑体" w:hint="eastAsia"/>
        </w:rPr>
        <w:t xml:space="preserve">            </w:t>
      </w:r>
    </w:p>
    <w:p w14:paraId="1120394F" w14:textId="77777777" w:rsidR="00D272D6" w:rsidRDefault="00000000">
      <w:pPr>
        <w:rPr>
          <w:b/>
          <w:sz w:val="36"/>
          <w:szCs w:val="36"/>
        </w:rPr>
      </w:pPr>
      <w:r>
        <w:rPr>
          <w:rFonts w:hint="eastAsia"/>
        </w:rPr>
        <w:t xml:space="preserve">   </w:t>
      </w:r>
      <w:r>
        <w:rPr>
          <w:rFonts w:hint="eastAsia"/>
          <w:b/>
          <w:sz w:val="36"/>
          <w:szCs w:val="36"/>
        </w:rPr>
        <w:t xml:space="preserve">     </w:t>
      </w:r>
    </w:p>
    <w:p w14:paraId="1C4357E7" w14:textId="77777777" w:rsidR="00D272D6" w:rsidRDefault="00D272D6">
      <w:pPr>
        <w:ind w:firstLineChars="345" w:firstLine="1247"/>
        <w:rPr>
          <w:b/>
          <w:sz w:val="36"/>
          <w:szCs w:val="36"/>
        </w:rPr>
      </w:pPr>
    </w:p>
    <w:p w14:paraId="60F2D70E" w14:textId="77777777" w:rsidR="00076DCB" w:rsidRPr="00076DCB" w:rsidRDefault="00000000" w:rsidP="00076DCB">
      <w:pPr>
        <w:ind w:leftChars="300" w:left="1804" w:hangingChars="300" w:hanging="1084"/>
        <w:jc w:val="left"/>
        <w:rPr>
          <w:b/>
          <w:sz w:val="36"/>
          <w:szCs w:val="36"/>
        </w:rPr>
      </w:pPr>
      <w:r>
        <w:rPr>
          <w:rFonts w:hint="eastAsia"/>
          <w:b/>
          <w:sz w:val="36"/>
          <w:szCs w:val="36"/>
        </w:rPr>
        <w:t>题目：</w:t>
      </w:r>
      <w:r w:rsidR="00076DCB" w:rsidRPr="00076DCB">
        <w:rPr>
          <w:b/>
          <w:bCs/>
          <w:sz w:val="36"/>
          <w:szCs w:val="36"/>
          <w:u w:val="single"/>
        </w:rPr>
        <w:t>广州期货交易所产品布局、创新逻辑及其对相关行业高质量发展的作用研究</w:t>
      </w:r>
    </w:p>
    <w:p w14:paraId="5A1E6A99" w14:textId="5F310DA0" w:rsidR="00076DCB" w:rsidRPr="00076DCB" w:rsidRDefault="00076DCB" w:rsidP="00076DCB">
      <w:pPr>
        <w:ind w:leftChars="300" w:left="1804" w:hangingChars="300" w:hanging="1084"/>
        <w:rPr>
          <w:rFonts w:ascii="宋体" w:hAnsi="宋体" w:hint="eastAsia"/>
          <w:b/>
          <w:sz w:val="36"/>
          <w:szCs w:val="36"/>
          <w:u w:val="single"/>
        </w:rPr>
      </w:pPr>
    </w:p>
    <w:p w14:paraId="5B4F0264" w14:textId="77777777" w:rsidR="00D272D6" w:rsidRDefault="00D272D6"/>
    <w:p w14:paraId="011B9D35" w14:textId="77777777" w:rsidR="00D272D6" w:rsidRDefault="00D272D6"/>
    <w:p w14:paraId="1B6ABCCB" w14:textId="77777777" w:rsidR="00D272D6" w:rsidRDefault="00D272D6">
      <w:pPr>
        <w:rPr>
          <w:sz w:val="30"/>
          <w:szCs w:val="30"/>
        </w:rPr>
      </w:pPr>
    </w:p>
    <w:p w14:paraId="68D9769C" w14:textId="77777777" w:rsidR="00D272D6" w:rsidRDefault="00D272D6">
      <w:pPr>
        <w:ind w:firstLineChars="650" w:firstLine="1950"/>
        <w:rPr>
          <w:sz w:val="30"/>
          <w:szCs w:val="30"/>
        </w:rPr>
      </w:pPr>
    </w:p>
    <w:p w14:paraId="79A83338" w14:textId="25C27E25" w:rsidR="00D272D6" w:rsidRDefault="00000000">
      <w:pPr>
        <w:spacing w:line="440" w:lineRule="exact"/>
        <w:ind w:firstLineChars="350" w:firstLine="1054"/>
        <w:rPr>
          <w:rFonts w:ascii="宋体" w:hAnsi="宋体" w:hint="eastAsia"/>
          <w:b/>
          <w:bCs/>
          <w:sz w:val="32"/>
          <w:szCs w:val="32"/>
          <w:u w:val="single"/>
        </w:rPr>
      </w:pPr>
      <w:r>
        <w:rPr>
          <w:rFonts w:hint="eastAsia"/>
          <w:b/>
          <w:bCs/>
          <w:sz w:val="30"/>
          <w:szCs w:val="30"/>
        </w:rPr>
        <w:t>课</w:t>
      </w:r>
      <w:r>
        <w:rPr>
          <w:rFonts w:hint="eastAsia"/>
          <w:b/>
          <w:bCs/>
          <w:sz w:val="30"/>
          <w:szCs w:val="30"/>
        </w:rPr>
        <w:t xml:space="preserve"> </w:t>
      </w:r>
      <w:r>
        <w:rPr>
          <w:rFonts w:hint="eastAsia"/>
          <w:b/>
          <w:bCs/>
          <w:sz w:val="30"/>
          <w:szCs w:val="30"/>
        </w:rPr>
        <w:t>程</w:t>
      </w:r>
      <w:r>
        <w:rPr>
          <w:rFonts w:hint="eastAsia"/>
          <w:b/>
          <w:bCs/>
          <w:sz w:val="30"/>
          <w:szCs w:val="30"/>
        </w:rPr>
        <w:t xml:space="preserve"> </w:t>
      </w:r>
      <w:r>
        <w:rPr>
          <w:rFonts w:hint="eastAsia"/>
          <w:b/>
          <w:bCs/>
          <w:sz w:val="30"/>
          <w:szCs w:val="30"/>
        </w:rPr>
        <w:t>名</w:t>
      </w:r>
      <w:r>
        <w:rPr>
          <w:rFonts w:hint="eastAsia"/>
          <w:b/>
          <w:bCs/>
          <w:sz w:val="30"/>
          <w:szCs w:val="30"/>
        </w:rPr>
        <w:t xml:space="preserve"> </w:t>
      </w:r>
      <w:r>
        <w:rPr>
          <w:rFonts w:hint="eastAsia"/>
          <w:b/>
          <w:bCs/>
          <w:sz w:val="30"/>
          <w:szCs w:val="30"/>
        </w:rPr>
        <w:t>称</w:t>
      </w:r>
      <w:r>
        <w:rPr>
          <w:rFonts w:ascii="宋体" w:hAnsi="宋体" w:hint="eastAsia"/>
          <w:b/>
          <w:bCs/>
          <w:sz w:val="30"/>
          <w:szCs w:val="30"/>
          <w:u w:val="single"/>
        </w:rPr>
        <w:t xml:space="preserve">      </w:t>
      </w:r>
      <w:r w:rsidR="00103922" w:rsidRPr="00076DCB">
        <w:rPr>
          <w:rFonts w:ascii="宋体" w:hAnsi="宋体"/>
          <w:b/>
          <w:bCs/>
          <w:sz w:val="30"/>
          <w:szCs w:val="30"/>
          <w:u w:val="single"/>
        </w:rPr>
        <w:t>期货及衍生品市场专题</w:t>
      </w:r>
      <w:r>
        <w:rPr>
          <w:rFonts w:ascii="宋体" w:hAnsi="宋体" w:hint="eastAsia"/>
          <w:b/>
          <w:bCs/>
          <w:sz w:val="30"/>
          <w:szCs w:val="30"/>
          <w:u w:val="single"/>
        </w:rPr>
        <w:t xml:space="preserve">    </w:t>
      </w:r>
      <w:r>
        <w:rPr>
          <w:rFonts w:ascii="宋体" w:hAnsi="宋体"/>
          <w:b/>
          <w:bCs/>
          <w:sz w:val="32"/>
          <w:szCs w:val="32"/>
          <w:u w:val="single"/>
        </w:rPr>
        <w:t xml:space="preserve">  </w:t>
      </w:r>
    </w:p>
    <w:p w14:paraId="44C1ED1F" w14:textId="77777777" w:rsidR="00D272D6" w:rsidRDefault="00000000">
      <w:pPr>
        <w:spacing w:line="440" w:lineRule="exact"/>
        <w:ind w:firstLineChars="350" w:firstLine="1054"/>
        <w:rPr>
          <w:rFonts w:ascii="宋体" w:hAnsi="宋体" w:hint="eastAsia"/>
          <w:sz w:val="30"/>
          <w:szCs w:val="30"/>
          <w:u w:val="single"/>
        </w:rPr>
      </w:pPr>
      <w:r>
        <w:rPr>
          <w:rFonts w:ascii="宋体" w:hAnsi="宋体" w:hint="eastAsia"/>
          <w:b/>
          <w:bCs/>
          <w:sz w:val="30"/>
          <w:szCs w:val="30"/>
        </w:rPr>
        <w:t>考 查 学 期</w:t>
      </w:r>
      <w:r>
        <w:rPr>
          <w:rFonts w:ascii="宋体" w:hAnsi="宋体" w:hint="eastAsia"/>
          <w:sz w:val="30"/>
          <w:szCs w:val="30"/>
          <w:u w:val="single"/>
        </w:rPr>
        <w:t xml:space="preserve">   </w:t>
      </w:r>
      <w:r>
        <w:rPr>
          <w:rFonts w:ascii="宋体" w:hAnsi="宋体" w:hint="eastAsia"/>
          <w:sz w:val="32"/>
          <w:szCs w:val="32"/>
          <w:u w:val="single"/>
        </w:rPr>
        <w:t xml:space="preserve"> </w:t>
      </w:r>
      <w:r>
        <w:rPr>
          <w:rFonts w:ascii="宋体" w:hAnsi="宋体" w:hint="eastAsia"/>
          <w:b/>
          <w:bCs/>
          <w:sz w:val="32"/>
          <w:szCs w:val="32"/>
          <w:u w:val="single"/>
        </w:rPr>
        <w:t>20</w:t>
      </w:r>
      <w:r>
        <w:rPr>
          <w:rFonts w:ascii="宋体" w:hAnsi="宋体"/>
          <w:b/>
          <w:bCs/>
          <w:sz w:val="32"/>
          <w:szCs w:val="32"/>
          <w:u w:val="single"/>
        </w:rPr>
        <w:t>2</w:t>
      </w:r>
      <w:r>
        <w:rPr>
          <w:rFonts w:ascii="宋体" w:hAnsi="宋体" w:hint="eastAsia"/>
          <w:b/>
          <w:bCs/>
          <w:sz w:val="32"/>
          <w:szCs w:val="32"/>
          <w:u w:val="single"/>
        </w:rPr>
        <w:t>5/2026学年</w:t>
      </w:r>
      <w:r>
        <w:rPr>
          <w:rFonts w:ascii="宋体" w:hAnsi="宋体"/>
          <w:b/>
          <w:bCs/>
          <w:sz w:val="32"/>
          <w:szCs w:val="32"/>
          <w:u w:val="single"/>
        </w:rPr>
        <w:t xml:space="preserve"> </w:t>
      </w:r>
      <w:r>
        <w:rPr>
          <w:rFonts w:ascii="宋体" w:hAnsi="宋体" w:hint="eastAsia"/>
          <w:b/>
          <w:bCs/>
          <w:sz w:val="32"/>
          <w:szCs w:val="32"/>
          <w:u w:val="single"/>
        </w:rPr>
        <w:t>第</w:t>
      </w:r>
      <w:r>
        <w:rPr>
          <w:rFonts w:hint="eastAsia"/>
          <w:b/>
          <w:bCs/>
          <w:u w:val="single"/>
        </w:rPr>
        <w:t>2</w:t>
      </w:r>
      <w:r>
        <w:rPr>
          <w:rFonts w:ascii="宋体" w:hAnsi="宋体" w:hint="eastAsia"/>
          <w:b/>
          <w:bCs/>
          <w:sz w:val="32"/>
          <w:szCs w:val="32"/>
          <w:u w:val="single"/>
        </w:rPr>
        <w:t>学期</w:t>
      </w:r>
      <w:r>
        <w:rPr>
          <w:rFonts w:ascii="宋体" w:hAnsi="宋体"/>
          <w:sz w:val="32"/>
          <w:szCs w:val="32"/>
          <w:u w:val="single"/>
        </w:rPr>
        <w:t xml:space="preserve">    </w:t>
      </w:r>
    </w:p>
    <w:p w14:paraId="5EB288D0" w14:textId="49D493C8" w:rsidR="00D272D6" w:rsidRDefault="00000000">
      <w:pPr>
        <w:spacing w:line="440" w:lineRule="exact"/>
        <w:ind w:firstLineChars="350" w:firstLine="1054"/>
        <w:rPr>
          <w:rFonts w:ascii="宋体" w:hAnsi="宋体" w:hint="eastAsia"/>
          <w:b/>
          <w:bCs/>
          <w:sz w:val="30"/>
          <w:szCs w:val="30"/>
          <w:u w:val="single"/>
        </w:rPr>
      </w:pPr>
      <w:r>
        <w:rPr>
          <w:rFonts w:ascii="宋体" w:hAnsi="宋体" w:hint="eastAsia"/>
          <w:b/>
          <w:bCs/>
          <w:sz w:val="30"/>
          <w:szCs w:val="30"/>
        </w:rPr>
        <w:t>考 查 方 式</w:t>
      </w:r>
      <w:r>
        <w:rPr>
          <w:rFonts w:ascii="宋体" w:hAnsi="宋体" w:hint="eastAsia"/>
          <w:b/>
          <w:bCs/>
          <w:sz w:val="30"/>
          <w:szCs w:val="30"/>
          <w:u w:val="single"/>
        </w:rPr>
        <w:t xml:space="preserve">　　　　　　</w:t>
      </w:r>
      <w:r>
        <w:rPr>
          <w:rFonts w:ascii="宋体" w:hAnsi="宋体" w:hint="eastAsia"/>
          <w:b/>
          <w:bCs/>
          <w:sz w:val="32"/>
          <w:szCs w:val="32"/>
          <w:u w:val="single"/>
          <w:lang w:eastAsia="zh-Hans"/>
        </w:rPr>
        <w:t>课程论文</w:t>
      </w:r>
      <w:r>
        <w:rPr>
          <w:rFonts w:ascii="宋体" w:hAnsi="宋体" w:hint="eastAsia"/>
          <w:b/>
          <w:bCs/>
          <w:sz w:val="30"/>
          <w:szCs w:val="30"/>
          <w:u w:val="single"/>
          <w:lang w:eastAsia="zh-Hans"/>
        </w:rPr>
        <w:t xml:space="preserve">　　　 　 </w:t>
      </w:r>
      <w:r>
        <w:rPr>
          <w:rFonts w:ascii="宋体" w:hAnsi="宋体" w:hint="eastAsia"/>
          <w:b/>
          <w:bCs/>
          <w:sz w:val="30"/>
          <w:szCs w:val="30"/>
          <w:u w:val="single"/>
        </w:rPr>
        <w:t xml:space="preserve"> </w:t>
      </w:r>
      <w:r w:rsidR="00076DCB">
        <w:rPr>
          <w:rFonts w:ascii="宋体" w:hAnsi="宋体"/>
          <w:b/>
          <w:bCs/>
          <w:sz w:val="30"/>
          <w:szCs w:val="30"/>
          <w:u w:val="single"/>
        </w:rPr>
        <w:tab/>
      </w:r>
    </w:p>
    <w:p w14:paraId="02378981" w14:textId="0142CB8D" w:rsidR="00D272D6" w:rsidRDefault="00000000">
      <w:pPr>
        <w:spacing w:line="440" w:lineRule="exact"/>
        <w:ind w:firstLineChars="350" w:firstLine="1054"/>
        <w:rPr>
          <w:rFonts w:ascii="宋体" w:hAnsi="宋体" w:hint="eastAsia"/>
          <w:b/>
          <w:bCs/>
          <w:sz w:val="30"/>
          <w:szCs w:val="30"/>
          <w:u w:val="single"/>
        </w:rPr>
      </w:pPr>
      <w:r>
        <w:rPr>
          <w:rFonts w:ascii="宋体" w:hAnsi="宋体" w:hint="eastAsia"/>
          <w:b/>
          <w:bCs/>
          <w:sz w:val="30"/>
          <w:szCs w:val="30"/>
        </w:rPr>
        <w:t>姓       名</w:t>
      </w:r>
      <w:r>
        <w:rPr>
          <w:rFonts w:ascii="宋体" w:hAnsi="宋体" w:hint="eastAsia"/>
          <w:b/>
          <w:bCs/>
          <w:sz w:val="30"/>
          <w:szCs w:val="30"/>
          <w:u w:val="single"/>
        </w:rPr>
        <w:t xml:space="preserve">　　　　　　　</w:t>
      </w:r>
      <w:r w:rsidR="00076DCB">
        <w:rPr>
          <w:rFonts w:ascii="宋体" w:hAnsi="宋体" w:hint="eastAsia"/>
          <w:b/>
          <w:bCs/>
          <w:sz w:val="30"/>
          <w:szCs w:val="30"/>
          <w:u w:val="single"/>
        </w:rPr>
        <w:t>陈尊炫</w:t>
      </w:r>
      <w:r>
        <w:rPr>
          <w:rFonts w:ascii="宋体" w:hAnsi="宋体" w:hint="eastAsia"/>
          <w:b/>
          <w:bCs/>
          <w:sz w:val="30"/>
          <w:szCs w:val="30"/>
          <w:u w:val="single"/>
        </w:rPr>
        <w:t xml:space="preserve">　 </w:t>
      </w:r>
      <w:r>
        <w:rPr>
          <w:rFonts w:ascii="宋体" w:hAnsi="宋体"/>
          <w:b/>
          <w:bCs/>
          <w:sz w:val="30"/>
          <w:szCs w:val="30"/>
          <w:u w:val="single"/>
        </w:rPr>
        <w:t xml:space="preserve">         </w:t>
      </w:r>
    </w:p>
    <w:p w14:paraId="27A2C998" w14:textId="07BA2574" w:rsidR="00D272D6" w:rsidRDefault="00000000">
      <w:pPr>
        <w:spacing w:line="440" w:lineRule="exact"/>
        <w:ind w:firstLineChars="350" w:firstLine="1054"/>
        <w:rPr>
          <w:rFonts w:ascii="宋体" w:hAnsi="宋体" w:hint="eastAsia"/>
          <w:b/>
          <w:bCs/>
          <w:sz w:val="30"/>
          <w:szCs w:val="30"/>
          <w:u w:val="single"/>
        </w:rPr>
      </w:pPr>
      <w:r>
        <w:rPr>
          <w:rFonts w:ascii="宋体" w:hAnsi="宋体" w:hint="eastAsia"/>
          <w:b/>
          <w:bCs/>
          <w:sz w:val="30"/>
          <w:szCs w:val="30"/>
        </w:rPr>
        <w:t>学       号</w:t>
      </w:r>
      <w:r>
        <w:rPr>
          <w:rFonts w:ascii="宋体" w:hAnsi="宋体" w:hint="eastAsia"/>
          <w:b/>
          <w:bCs/>
          <w:sz w:val="30"/>
          <w:szCs w:val="30"/>
          <w:u w:val="single"/>
        </w:rPr>
        <w:t xml:space="preserve"> </w:t>
      </w:r>
      <w:r>
        <w:rPr>
          <w:rFonts w:ascii="宋体" w:hAnsi="宋体"/>
          <w:b/>
          <w:bCs/>
          <w:sz w:val="30"/>
          <w:szCs w:val="30"/>
          <w:u w:val="single"/>
        </w:rPr>
        <w:t xml:space="preserve">         </w:t>
      </w:r>
      <w:r w:rsidR="00076DCB">
        <w:rPr>
          <w:rFonts w:ascii="宋体" w:hAnsi="宋体" w:hint="eastAsia"/>
          <w:b/>
          <w:bCs/>
          <w:sz w:val="30"/>
          <w:szCs w:val="30"/>
          <w:u w:val="single"/>
        </w:rPr>
        <w:t>202412060403</w:t>
      </w:r>
      <w:r>
        <w:rPr>
          <w:rFonts w:ascii="宋体" w:hAnsi="宋体"/>
          <w:b/>
          <w:bCs/>
          <w:sz w:val="30"/>
          <w:szCs w:val="30"/>
          <w:u w:val="single"/>
        </w:rPr>
        <w:t xml:space="preserve">          </w:t>
      </w:r>
    </w:p>
    <w:p w14:paraId="2B1C9ABF" w14:textId="1229722F" w:rsidR="00D272D6" w:rsidRDefault="00000000">
      <w:pPr>
        <w:spacing w:line="440" w:lineRule="exact"/>
        <w:ind w:firstLineChars="350" w:firstLine="1054"/>
        <w:rPr>
          <w:rFonts w:ascii="宋体" w:hAnsi="宋体" w:hint="eastAsia"/>
          <w:b/>
          <w:bCs/>
          <w:sz w:val="30"/>
          <w:szCs w:val="30"/>
          <w:u w:val="single"/>
        </w:rPr>
      </w:pPr>
      <w:r>
        <w:rPr>
          <w:rFonts w:ascii="宋体" w:hAnsi="宋体" w:hint="eastAsia"/>
          <w:b/>
          <w:bCs/>
          <w:sz w:val="30"/>
          <w:szCs w:val="30"/>
        </w:rPr>
        <w:t>专       业</w:t>
      </w:r>
      <w:r>
        <w:rPr>
          <w:rFonts w:ascii="宋体" w:hAnsi="宋体" w:hint="eastAsia"/>
          <w:b/>
          <w:bCs/>
          <w:sz w:val="30"/>
          <w:szCs w:val="30"/>
          <w:u w:val="single"/>
        </w:rPr>
        <w:t xml:space="preserve">       </w:t>
      </w:r>
      <w:r>
        <w:rPr>
          <w:rFonts w:ascii="宋体" w:hAnsi="宋体"/>
          <w:b/>
          <w:bCs/>
          <w:sz w:val="30"/>
          <w:szCs w:val="30"/>
          <w:u w:val="single"/>
        </w:rPr>
        <w:t xml:space="preserve">  </w:t>
      </w:r>
      <w:r w:rsidR="00076DCB">
        <w:rPr>
          <w:rFonts w:ascii="宋体" w:hAnsi="宋体" w:hint="eastAsia"/>
          <w:b/>
          <w:bCs/>
          <w:sz w:val="30"/>
          <w:szCs w:val="30"/>
          <w:u w:val="single"/>
        </w:rPr>
        <w:t>计科华为（2404）</w:t>
      </w:r>
      <w:r>
        <w:rPr>
          <w:rFonts w:ascii="宋体" w:hAnsi="宋体" w:hint="eastAsia"/>
          <w:b/>
          <w:bCs/>
          <w:sz w:val="30"/>
          <w:szCs w:val="30"/>
          <w:u w:val="single"/>
        </w:rPr>
        <w:t xml:space="preserve"> </w:t>
      </w:r>
      <w:r>
        <w:rPr>
          <w:rFonts w:ascii="宋体" w:hAnsi="宋体"/>
          <w:b/>
          <w:bCs/>
          <w:sz w:val="30"/>
          <w:szCs w:val="30"/>
          <w:u w:val="single"/>
        </w:rPr>
        <w:t xml:space="preserve">   </w:t>
      </w:r>
      <w:r w:rsidR="00076DCB">
        <w:rPr>
          <w:rFonts w:ascii="宋体" w:hAnsi="宋体"/>
          <w:b/>
          <w:bCs/>
          <w:sz w:val="30"/>
          <w:szCs w:val="30"/>
          <w:u w:val="single"/>
        </w:rPr>
        <w:tab/>
      </w:r>
      <w:r w:rsidR="00076DCB">
        <w:rPr>
          <w:rFonts w:ascii="宋体" w:hAnsi="宋体"/>
          <w:b/>
          <w:bCs/>
          <w:sz w:val="30"/>
          <w:szCs w:val="30"/>
          <w:u w:val="single"/>
        </w:rPr>
        <w:tab/>
      </w:r>
    </w:p>
    <w:p w14:paraId="036969A8" w14:textId="7B363C90" w:rsidR="00D272D6" w:rsidRDefault="00000000">
      <w:pPr>
        <w:spacing w:line="440" w:lineRule="exact"/>
        <w:ind w:firstLineChars="350" w:firstLine="1054"/>
        <w:rPr>
          <w:rFonts w:ascii="宋体" w:hAnsi="宋体" w:hint="eastAsia"/>
          <w:b/>
          <w:bCs/>
          <w:sz w:val="30"/>
          <w:szCs w:val="30"/>
        </w:rPr>
      </w:pPr>
      <w:r>
        <w:rPr>
          <w:rFonts w:ascii="宋体" w:hAnsi="宋体" w:hint="eastAsia"/>
          <w:b/>
          <w:bCs/>
          <w:sz w:val="30"/>
          <w:szCs w:val="30"/>
        </w:rPr>
        <w:t>成       绩</w:t>
      </w:r>
      <w:r>
        <w:rPr>
          <w:rFonts w:ascii="宋体" w:hAnsi="宋体" w:hint="eastAsia"/>
          <w:b/>
          <w:bCs/>
          <w:sz w:val="30"/>
          <w:szCs w:val="30"/>
          <w:u w:val="single"/>
        </w:rPr>
        <w:t xml:space="preserve">    </w:t>
      </w:r>
      <w:r>
        <w:rPr>
          <w:rFonts w:ascii="宋体" w:hAnsi="宋体" w:hint="eastAsia"/>
          <w:b/>
          <w:bCs/>
          <w:sz w:val="32"/>
          <w:szCs w:val="32"/>
          <w:u w:val="single"/>
        </w:rPr>
        <w:t xml:space="preserve"> </w:t>
      </w:r>
      <w:r>
        <w:rPr>
          <w:rFonts w:ascii="宋体" w:hAnsi="宋体"/>
          <w:b/>
          <w:bCs/>
          <w:sz w:val="32"/>
          <w:szCs w:val="32"/>
          <w:u w:val="single"/>
        </w:rPr>
        <w:t xml:space="preserve">          </w:t>
      </w:r>
      <w:commentRangeStart w:id="1"/>
      <w:commentRangeEnd w:id="1"/>
      <w:r w:rsidR="00076DCB">
        <w:rPr>
          <w:rStyle w:val="af3"/>
          <w:rFonts w:ascii="宋体" w:hAnsi="宋体"/>
          <w:b/>
          <w:bCs/>
          <w:sz w:val="32"/>
          <w:szCs w:val="32"/>
          <w:u w:val="single"/>
        </w:rPr>
        <w:commentReference w:id="1"/>
      </w:r>
      <w:r>
        <w:rPr>
          <w:rFonts w:ascii="宋体" w:hAnsi="宋体"/>
          <w:b/>
          <w:bCs/>
          <w:sz w:val="32"/>
          <w:szCs w:val="32"/>
          <w:u w:val="single"/>
        </w:rPr>
        <w:t xml:space="preserve">              </w:t>
      </w:r>
      <w:r>
        <w:rPr>
          <w:rFonts w:ascii="宋体" w:hAnsi="宋体"/>
          <w:b/>
          <w:bCs/>
          <w:sz w:val="30"/>
          <w:szCs w:val="30"/>
          <w:u w:val="single"/>
        </w:rPr>
        <w:t xml:space="preserve"> </w:t>
      </w:r>
      <w:r w:rsidR="00076DCB">
        <w:rPr>
          <w:rFonts w:ascii="宋体" w:hAnsi="宋体"/>
          <w:b/>
          <w:bCs/>
          <w:sz w:val="30"/>
          <w:szCs w:val="30"/>
          <w:u w:val="single"/>
        </w:rPr>
        <w:tab/>
      </w:r>
    </w:p>
    <w:p w14:paraId="7E070474" w14:textId="328E9106" w:rsidR="00D272D6" w:rsidRDefault="00000000">
      <w:pPr>
        <w:spacing w:line="440" w:lineRule="exact"/>
        <w:ind w:firstLineChars="350" w:firstLine="1054"/>
        <w:rPr>
          <w:rFonts w:ascii="宋体" w:hAnsi="宋体" w:hint="eastAsia"/>
          <w:b/>
          <w:bCs/>
          <w:sz w:val="30"/>
          <w:szCs w:val="30"/>
          <w:u w:val="single"/>
        </w:rPr>
      </w:pPr>
      <w:r>
        <w:rPr>
          <w:rFonts w:ascii="宋体" w:hAnsi="宋体" w:hint="eastAsia"/>
          <w:b/>
          <w:bCs/>
          <w:sz w:val="30"/>
          <w:szCs w:val="30"/>
        </w:rPr>
        <w:t>指 导 教 师</w:t>
      </w:r>
      <w:r>
        <w:rPr>
          <w:rFonts w:ascii="宋体" w:hAnsi="宋体" w:hint="eastAsia"/>
          <w:b/>
          <w:bCs/>
          <w:sz w:val="30"/>
          <w:szCs w:val="30"/>
          <w:u w:val="single"/>
        </w:rPr>
        <w:t xml:space="preserve">            </w:t>
      </w:r>
      <w:r>
        <w:rPr>
          <w:rFonts w:ascii="宋体" w:hAnsi="宋体"/>
          <w:b/>
          <w:bCs/>
          <w:sz w:val="30"/>
          <w:szCs w:val="30"/>
          <w:u w:val="single"/>
        </w:rPr>
        <w:t xml:space="preserve">  </w:t>
      </w:r>
      <w:r w:rsidR="005B0792">
        <w:rPr>
          <w:rFonts w:ascii="宋体" w:hAnsi="宋体" w:hint="eastAsia"/>
          <w:b/>
          <w:bCs/>
          <w:sz w:val="30"/>
          <w:szCs w:val="30"/>
          <w:u w:val="single"/>
        </w:rPr>
        <w:t>刘宇</w:t>
      </w:r>
      <w:commentRangeStart w:id="2"/>
      <w:commentRangeEnd w:id="2"/>
      <w:r w:rsidR="00076DCB">
        <w:rPr>
          <w:rStyle w:val="af3"/>
          <w:rFonts w:ascii="宋体" w:hAnsi="宋体"/>
          <w:b/>
          <w:bCs/>
          <w:sz w:val="30"/>
          <w:szCs w:val="30"/>
          <w:u w:val="single"/>
        </w:rPr>
        <w:commentReference w:id="2"/>
      </w:r>
      <w:r>
        <w:rPr>
          <w:rFonts w:ascii="宋体" w:hAnsi="宋体"/>
          <w:b/>
          <w:bCs/>
          <w:sz w:val="30"/>
          <w:szCs w:val="30"/>
          <w:u w:val="single"/>
        </w:rPr>
        <w:t xml:space="preserve">                  </w:t>
      </w:r>
      <w:r w:rsidR="00076DCB">
        <w:rPr>
          <w:rFonts w:ascii="宋体" w:hAnsi="宋体"/>
          <w:b/>
          <w:bCs/>
          <w:sz w:val="30"/>
          <w:szCs w:val="30"/>
          <w:u w:val="single"/>
        </w:rPr>
        <w:tab/>
      </w:r>
    </w:p>
    <w:p w14:paraId="6E42DFB5" w14:textId="77777777" w:rsidR="00D272D6" w:rsidRDefault="00D272D6">
      <w:pPr>
        <w:pStyle w:val="ac"/>
        <w:spacing w:before="0" w:beforeAutospacing="0" w:after="0" w:afterAutospacing="0" w:line="340" w:lineRule="exact"/>
        <w:jc w:val="both"/>
        <w:rPr>
          <w:rFonts w:hint="eastAsia"/>
          <w:b/>
          <w:bCs/>
        </w:rPr>
      </w:pPr>
    </w:p>
    <w:p w14:paraId="3C978460" w14:textId="77777777" w:rsidR="00D272D6" w:rsidRDefault="00D272D6">
      <w:pPr>
        <w:pStyle w:val="ac"/>
        <w:spacing w:before="0" w:beforeAutospacing="0" w:after="0" w:afterAutospacing="0" w:line="340" w:lineRule="exact"/>
        <w:jc w:val="both"/>
        <w:rPr>
          <w:rFonts w:hint="eastAsia"/>
        </w:rPr>
      </w:pPr>
    </w:p>
    <w:p w14:paraId="1BBE348A" w14:textId="77777777" w:rsidR="00D272D6" w:rsidRDefault="00D272D6">
      <w:pPr>
        <w:pStyle w:val="ac"/>
        <w:spacing w:before="0" w:beforeAutospacing="0" w:after="0" w:afterAutospacing="0" w:line="300" w:lineRule="auto"/>
        <w:jc w:val="center"/>
        <w:rPr>
          <w:rFonts w:ascii="黑体" w:eastAsia="黑体" w:hAnsi="黑体" w:hint="eastAsia"/>
          <w:b/>
          <w:sz w:val="36"/>
          <w:szCs w:val="36"/>
        </w:rPr>
        <w:sectPr w:rsidR="00D272D6">
          <w:headerReference w:type="default" r:id="rId11"/>
          <w:footerReference w:type="default" r:id="rId12"/>
          <w:headerReference w:type="first" r:id="rId13"/>
          <w:pgSz w:w="11906" w:h="16838"/>
          <w:pgMar w:top="1418" w:right="1134" w:bottom="1418" w:left="1134" w:header="851" w:footer="992" w:gutter="284"/>
          <w:cols w:space="720"/>
          <w:titlePg/>
          <w:docGrid w:type="lines" w:linePitch="312"/>
        </w:sectPr>
      </w:pPr>
    </w:p>
    <w:p w14:paraId="6AF2478E" w14:textId="77777777" w:rsidR="00D272D6" w:rsidRDefault="00000000">
      <w:pPr>
        <w:pStyle w:val="ac"/>
        <w:spacing w:before="0" w:beforeAutospacing="0" w:after="0" w:afterAutospacing="0" w:line="300" w:lineRule="auto"/>
        <w:jc w:val="center"/>
        <w:rPr>
          <w:rFonts w:ascii="黑体" w:eastAsia="黑体" w:hAnsi="黑体" w:hint="eastAsia"/>
          <w:b/>
          <w:sz w:val="36"/>
          <w:szCs w:val="36"/>
        </w:rPr>
      </w:pPr>
      <w:commentRangeStart w:id="3"/>
      <w:r>
        <w:rPr>
          <w:rFonts w:ascii="黑体" w:eastAsia="黑体" w:hAnsi="黑体" w:hint="eastAsia"/>
          <w:b/>
          <w:sz w:val="36"/>
          <w:szCs w:val="36"/>
        </w:rPr>
        <w:lastRenderedPageBreak/>
        <w:t>摘</w:t>
      </w:r>
      <w:r>
        <w:rPr>
          <w:rFonts w:ascii="黑体" w:eastAsia="黑体" w:hAnsi="黑体"/>
          <w:b/>
          <w:sz w:val="36"/>
          <w:szCs w:val="36"/>
        </w:rPr>
        <w:t xml:space="preserve"> </w:t>
      </w:r>
      <w:r>
        <w:rPr>
          <w:rFonts w:ascii="黑体" w:eastAsia="黑体" w:hAnsi="黑体" w:hint="eastAsia"/>
          <w:b/>
          <w:sz w:val="36"/>
          <w:szCs w:val="36"/>
        </w:rPr>
        <w:t>要</w:t>
      </w:r>
      <w:commentRangeEnd w:id="3"/>
      <w:r>
        <w:rPr>
          <w:rStyle w:val="af3"/>
          <w:rFonts w:ascii="黑体" w:eastAsia="黑体" w:hAnsi="黑体" w:hint="eastAsia"/>
          <w:b/>
          <w:sz w:val="36"/>
          <w:szCs w:val="36"/>
        </w:rPr>
        <w:commentReference w:id="3"/>
      </w:r>
    </w:p>
    <w:p w14:paraId="247C658F" w14:textId="77777777" w:rsidR="00420E42" w:rsidRPr="00420E42" w:rsidRDefault="00000000" w:rsidP="00420E42">
      <w:pPr>
        <w:pStyle w:val="ac"/>
        <w:spacing w:line="300" w:lineRule="auto"/>
        <w:jc w:val="both"/>
        <w:rPr>
          <w:rFonts w:ascii="黑体" w:eastAsia="黑体" w:hAnsi="黑体" w:hint="eastAsia"/>
          <w:bCs/>
          <w:lang w:eastAsia="zh-Hans"/>
        </w:rPr>
      </w:pPr>
      <w:r>
        <w:rPr>
          <w:rFonts w:ascii="黑体" w:eastAsia="黑体" w:hAnsi="黑体"/>
          <w:b/>
          <w:sz w:val="36"/>
          <w:szCs w:val="36"/>
          <w:lang w:eastAsia="zh-Hans"/>
        </w:rPr>
        <w:t xml:space="preserve">  </w:t>
      </w:r>
      <w:commentRangeStart w:id="4"/>
      <w:commentRangeEnd w:id="4"/>
      <w:r w:rsidR="00420E42" w:rsidRPr="00420E42">
        <w:rPr>
          <w:rStyle w:val="af3"/>
          <w:rFonts w:ascii="黑体" w:eastAsia="黑体" w:hAnsi="黑体"/>
          <w:bCs/>
          <w:sz w:val="24"/>
          <w:szCs w:val="24"/>
          <w:lang w:eastAsia="zh-Hans"/>
        </w:rPr>
        <w:commentReference w:id="4"/>
      </w:r>
      <w:r w:rsidRPr="00420E42">
        <w:rPr>
          <w:rFonts w:ascii="黑体" w:eastAsia="黑体" w:hAnsi="黑体"/>
          <w:bCs/>
          <w:lang w:eastAsia="zh-Hans"/>
        </w:rPr>
        <w:t xml:space="preserve"> </w:t>
      </w:r>
      <w:r w:rsidR="00420E42" w:rsidRPr="00420E42">
        <w:rPr>
          <w:rFonts w:ascii="黑体" w:eastAsia="黑体" w:hAnsi="黑体"/>
          <w:bCs/>
          <w:lang w:eastAsia="zh-Hans"/>
        </w:rPr>
        <w:t>期货及衍生品市场是现代金融体系服务实体经济的重要工具，兼具风险管理和价格发现两大核心功能。广州期货交易所作为我国首家定位于服务绿色发展和科技创新的期货交易所，自成立以来围绕工业硅、碳酸锂、铂、钯及碳排放权等品种持续推进产品布局，逐步形成面向新能源、新材料和绿色低碳产业链的风险管理工具体系。本文结合期货及衍生品市场的基本功能，分析广州期货交易所产品布局的特点、创新逻辑及其对相关行业高质量发展的积极作用。研究认为，广期所坚持服务国家战略、服务产业痛点、服务市场建设和服务开放协同的发展思路，既为企业提供了稳定预期和套期保值工具，也为产业链形成更透明、更公允的价格信号，对推动相关行业高质量发展具有重要意义。</w:t>
      </w:r>
    </w:p>
    <w:p w14:paraId="6BAFFFFB" w14:textId="5350DABE" w:rsidR="00D272D6" w:rsidRDefault="00D272D6">
      <w:pPr>
        <w:pStyle w:val="ac"/>
        <w:spacing w:before="0" w:beforeAutospacing="0" w:after="0" w:afterAutospacing="0" w:line="300" w:lineRule="auto"/>
        <w:jc w:val="both"/>
        <w:rPr>
          <w:rFonts w:ascii="黑体" w:eastAsia="黑体" w:hAnsi="黑体" w:hint="eastAsia"/>
          <w:b/>
          <w:sz w:val="36"/>
          <w:szCs w:val="36"/>
          <w:lang w:eastAsia="zh-Hans"/>
        </w:rPr>
      </w:pPr>
    </w:p>
    <w:p w14:paraId="59FC2184" w14:textId="77777777" w:rsidR="00D272D6" w:rsidRDefault="00D272D6">
      <w:pPr>
        <w:pStyle w:val="ac"/>
        <w:spacing w:before="0" w:beforeAutospacing="0" w:after="0" w:afterAutospacing="0" w:line="300" w:lineRule="auto"/>
        <w:jc w:val="both"/>
        <w:rPr>
          <w:rFonts w:ascii="黑体" w:eastAsia="黑体" w:hAnsi="黑体" w:hint="eastAsia"/>
          <w:b/>
          <w:sz w:val="36"/>
          <w:szCs w:val="36"/>
          <w:lang w:eastAsia="zh-Hans"/>
        </w:rPr>
      </w:pPr>
    </w:p>
    <w:p w14:paraId="389E9CFF" w14:textId="77777777" w:rsidR="00D272D6" w:rsidRDefault="00D272D6">
      <w:pPr>
        <w:pStyle w:val="ac"/>
        <w:spacing w:before="0" w:beforeAutospacing="0" w:after="0" w:afterAutospacing="0" w:line="300" w:lineRule="auto"/>
        <w:jc w:val="both"/>
        <w:rPr>
          <w:rFonts w:ascii="黑体" w:eastAsia="黑体" w:hAnsi="黑体" w:hint="eastAsia"/>
          <w:b/>
          <w:sz w:val="36"/>
          <w:szCs w:val="36"/>
          <w:lang w:eastAsia="zh-Hans"/>
        </w:rPr>
      </w:pPr>
    </w:p>
    <w:p w14:paraId="37F9A686" w14:textId="77777777" w:rsidR="00D272D6" w:rsidRDefault="00D272D6">
      <w:pPr>
        <w:pStyle w:val="ac"/>
        <w:spacing w:before="0" w:beforeAutospacing="0" w:after="0" w:afterAutospacing="0" w:line="300" w:lineRule="auto"/>
        <w:jc w:val="both"/>
        <w:rPr>
          <w:rFonts w:ascii="黑体" w:eastAsia="黑体" w:hAnsi="黑体" w:hint="eastAsia"/>
          <w:b/>
          <w:sz w:val="36"/>
          <w:szCs w:val="36"/>
          <w:lang w:eastAsia="zh-Hans"/>
        </w:rPr>
      </w:pPr>
    </w:p>
    <w:p w14:paraId="31DCA778" w14:textId="4BBD083E" w:rsidR="00420E42" w:rsidRPr="00420E42" w:rsidRDefault="00000000" w:rsidP="00420E42">
      <w:pPr>
        <w:pStyle w:val="ac"/>
        <w:spacing w:before="0" w:beforeAutospacing="0" w:after="0" w:afterAutospacing="0" w:line="300" w:lineRule="auto"/>
        <w:ind w:firstLineChars="100" w:firstLine="241"/>
        <w:jc w:val="both"/>
        <w:rPr>
          <w:rFonts w:hint="eastAsia"/>
          <w:lang w:eastAsia="zh-Hans"/>
        </w:rPr>
      </w:pPr>
      <w:commentRangeStart w:id="5"/>
      <w:r>
        <w:rPr>
          <w:rFonts w:cs="Songti SC Bold" w:hint="eastAsia"/>
          <w:b/>
          <w:bCs/>
          <w:lang w:eastAsia="zh-Hans"/>
        </w:rPr>
        <w:t>关键词：</w:t>
      </w:r>
      <w:commentRangeEnd w:id="5"/>
      <w:r w:rsidR="00420E42">
        <w:rPr>
          <w:rStyle w:val="af3"/>
          <w:sz w:val="24"/>
          <w:szCs w:val="24"/>
        </w:rPr>
        <w:commentReference w:id="5"/>
      </w:r>
      <w:r>
        <w:t xml:space="preserve">  </w:t>
      </w:r>
      <w:r w:rsidR="00420E42" w:rsidRPr="00420E42">
        <w:rPr>
          <w:rFonts w:ascii="黑体" w:eastAsia="黑体" w:hAnsi="黑体"/>
          <w:b/>
        </w:rPr>
        <w:t>广州期货交易所；期货及衍生品市场；风险管理；高质量发展；绿色金融</w:t>
      </w:r>
    </w:p>
    <w:p w14:paraId="79117138" w14:textId="77777777" w:rsidR="00420E42" w:rsidRPr="00420E42" w:rsidRDefault="00420E42" w:rsidP="00420E42">
      <w:pPr>
        <w:pStyle w:val="ac"/>
        <w:spacing w:line="300" w:lineRule="auto"/>
        <w:jc w:val="both"/>
        <w:rPr>
          <w:rFonts w:ascii="黑体" w:eastAsia="黑体" w:hAnsi="黑体" w:hint="eastAsia"/>
          <w:b/>
          <w:sz w:val="36"/>
          <w:szCs w:val="36"/>
        </w:rPr>
      </w:pPr>
    </w:p>
    <w:p w14:paraId="737E68B2" w14:textId="77777777" w:rsidR="00D272D6" w:rsidRPr="00420E42" w:rsidRDefault="00D272D6">
      <w:pPr>
        <w:pStyle w:val="ac"/>
        <w:spacing w:before="0" w:beforeAutospacing="0" w:after="0" w:afterAutospacing="0" w:line="300" w:lineRule="auto"/>
        <w:jc w:val="both"/>
        <w:rPr>
          <w:rFonts w:ascii="黑体" w:eastAsia="黑体" w:hAnsi="黑体" w:hint="eastAsia"/>
          <w:b/>
          <w:sz w:val="36"/>
          <w:szCs w:val="36"/>
        </w:rPr>
        <w:sectPr w:rsidR="00D272D6" w:rsidRPr="00420E42">
          <w:footerReference w:type="default" r:id="rId14"/>
          <w:pgSz w:w="11906" w:h="16838"/>
          <w:pgMar w:top="1440" w:right="1800" w:bottom="1440" w:left="1800" w:header="851" w:footer="992" w:gutter="0"/>
          <w:pgNumType w:fmt="upperRoman" w:start="1"/>
          <w:cols w:space="720"/>
          <w:docGrid w:type="lines" w:linePitch="312"/>
        </w:sectPr>
      </w:pPr>
    </w:p>
    <w:bookmarkStart w:id="6" w:name="_Toc13245470" w:displacedByCustomXml="next"/>
    <w:bookmarkStart w:id="7" w:name="_Toc8223499" w:displacedByCustomXml="next"/>
    <w:sdt>
      <w:sdtPr>
        <w:rPr>
          <w:rFonts w:ascii="Times New Roman" w:eastAsia="宋体" w:hAnsi="Times New Roman" w:cs="Times New Roman"/>
          <w:color w:val="auto"/>
          <w:kern w:val="2"/>
          <w:sz w:val="24"/>
          <w:szCs w:val="24"/>
          <w:lang w:val="zh-CN"/>
        </w:rPr>
        <w:id w:val="-961412988"/>
        <w:docPartObj>
          <w:docPartGallery w:val="Table of Contents"/>
          <w:docPartUnique/>
        </w:docPartObj>
      </w:sdtPr>
      <w:sdtEndPr>
        <w:rPr>
          <w:b/>
          <w:bCs/>
        </w:rPr>
      </w:sdtEndPr>
      <w:sdtContent>
        <w:p w14:paraId="6ED3985C" w14:textId="3174A7E4" w:rsidR="00DD5EE2" w:rsidRDefault="00DD5EE2">
          <w:pPr>
            <w:pStyle w:val="TOC"/>
            <w:rPr>
              <w:rFonts w:hint="eastAsia"/>
            </w:rPr>
          </w:pPr>
          <w:r>
            <w:rPr>
              <w:lang w:val="zh-CN"/>
            </w:rPr>
            <w:t>目录</w:t>
          </w:r>
        </w:p>
        <w:p w14:paraId="6A5D1F1F" w14:textId="2E26480C" w:rsidR="00DD5EE2" w:rsidRDefault="00DD5EE2">
          <w:pPr>
            <w:pStyle w:val="TOC1"/>
            <w:spacing w:before="156"/>
            <w:rPr>
              <w:rFonts w:asciiTheme="minorHAnsi" w:eastAsiaTheme="minorEastAsia" w:hAnsiTheme="minorHAnsi" w:cstheme="minorBidi" w:hint="eastAsia"/>
              <w:b w:val="0"/>
              <w:noProof/>
              <w:sz w:val="22"/>
              <w14:ligatures w14:val="standardContextual"/>
            </w:rPr>
          </w:pPr>
          <w:r>
            <w:fldChar w:fldCharType="begin"/>
          </w:r>
          <w:r>
            <w:instrText xml:space="preserve"> TOC \o "1-3" \h \z \u </w:instrText>
          </w:r>
          <w:r>
            <w:fldChar w:fldCharType="separate"/>
          </w:r>
          <w:hyperlink w:anchor="_Toc231910700" w:history="1">
            <w:r w:rsidRPr="007063E9">
              <w:rPr>
                <w:rStyle w:val="af2"/>
                <w:rFonts w:ascii="宋体" w:hAnsi="宋体"/>
                <w:bCs/>
                <w:noProof/>
                <w:lang w:eastAsia="zh-Hans"/>
              </w:rPr>
              <w:t>一、引言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_Toc231910700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17FDBCE" w14:textId="52C2D1E4" w:rsidR="00DD5EE2" w:rsidRDefault="00DD5EE2">
          <w:pPr>
            <w:pStyle w:val="TOC1"/>
            <w:spacing w:before="156"/>
            <w:rPr>
              <w:rFonts w:asciiTheme="minorHAnsi" w:eastAsiaTheme="minorEastAsia" w:hAnsiTheme="minorHAnsi" w:cstheme="minorBidi" w:hint="eastAsia"/>
              <w:b w:val="0"/>
              <w:noProof/>
              <w:sz w:val="22"/>
              <w14:ligatures w14:val="standardContextual"/>
            </w:rPr>
          </w:pPr>
          <w:hyperlink w:anchor="_Toc231910701" w:history="1">
            <w:r w:rsidRPr="007063E9">
              <w:rPr>
                <w:rStyle w:val="af2"/>
                <w:rFonts w:ascii="宋体" w:hAnsi="宋体"/>
                <w:bCs/>
                <w:noProof/>
                <w:lang w:eastAsia="zh-Hans"/>
              </w:rPr>
              <w:t>二、期货及衍生品市场的功能基础：风险管理与价格发现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_Toc231910701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12024C1" w14:textId="327251AD" w:rsidR="00DD5EE2" w:rsidRDefault="00DD5EE2">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31910702" w:history="1">
            <w:r w:rsidRPr="007063E9">
              <w:rPr>
                <w:rStyle w:val="af2"/>
                <w:rFonts w:ascii="宋体" w:hAnsi="宋体"/>
                <w:b/>
                <w:bCs/>
                <w:noProof/>
                <w:lang w:eastAsia="zh-Hans"/>
              </w:rPr>
              <w:t>（一）风险管理功能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_Toc231910702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92F05C8" w14:textId="284CCE56" w:rsidR="00DD5EE2" w:rsidRDefault="00DD5EE2">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31910703" w:history="1">
            <w:r w:rsidRPr="007063E9">
              <w:rPr>
                <w:rStyle w:val="af2"/>
                <w:rFonts w:ascii="宋体" w:hAnsi="宋体"/>
                <w:b/>
                <w:bCs/>
                <w:noProof/>
                <w:lang w:eastAsia="zh-Hans"/>
              </w:rPr>
              <w:t>（二）价格发现功能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_Toc231910703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BFDCBA9" w14:textId="500F1BF9" w:rsidR="00DD5EE2" w:rsidRDefault="00DD5EE2">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31910704" w:history="1">
            <w:r w:rsidRPr="007063E9">
              <w:rPr>
                <w:rStyle w:val="af2"/>
                <w:rFonts w:ascii="宋体" w:hAnsi="宋体"/>
                <w:b/>
                <w:bCs/>
                <w:noProof/>
                <w:lang w:eastAsia="zh-Hans"/>
              </w:rPr>
              <w:t>（三）两大功能统一于服务实体经济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_Toc231910704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27ACB90" w14:textId="16A926AA" w:rsidR="00DD5EE2" w:rsidRDefault="00DD5EE2">
          <w:pPr>
            <w:pStyle w:val="TOC1"/>
            <w:spacing w:before="156"/>
            <w:rPr>
              <w:rFonts w:asciiTheme="minorHAnsi" w:eastAsiaTheme="minorEastAsia" w:hAnsiTheme="minorHAnsi" w:cstheme="minorBidi" w:hint="eastAsia"/>
              <w:b w:val="0"/>
              <w:noProof/>
              <w:sz w:val="22"/>
              <w14:ligatures w14:val="standardContextual"/>
            </w:rPr>
          </w:pPr>
          <w:hyperlink w:anchor="_Toc231910705" w:history="1">
            <w:r w:rsidRPr="007063E9">
              <w:rPr>
                <w:rStyle w:val="af2"/>
                <w:rFonts w:ascii="宋体" w:hAnsi="宋体"/>
                <w:bCs/>
                <w:noProof/>
                <w:lang w:eastAsia="zh-Hans"/>
              </w:rPr>
              <w:t>三、广州期货交易所的产品布局及其特点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_Toc231910705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BE043DA" w14:textId="2867FF81" w:rsidR="00DD5EE2" w:rsidRDefault="00DD5EE2">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31910706" w:history="1">
            <w:r w:rsidRPr="007063E9">
              <w:rPr>
                <w:rStyle w:val="af2"/>
                <w:rFonts w:ascii="宋体" w:hAnsi="宋体"/>
                <w:b/>
                <w:bCs/>
                <w:noProof/>
                <w:lang w:eastAsia="zh-Hans"/>
              </w:rPr>
              <w:t>（一）围绕绿色低碳产业布局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_Toc231910706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597FBCF" w14:textId="7DBC41E3" w:rsidR="00DD5EE2" w:rsidRDefault="00DD5EE2">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31910707" w:history="1">
            <w:r w:rsidRPr="007063E9">
              <w:rPr>
                <w:rStyle w:val="af2"/>
                <w:rFonts w:ascii="宋体" w:hAnsi="宋体"/>
                <w:b/>
                <w:bCs/>
                <w:noProof/>
                <w:lang w:eastAsia="zh-Hans"/>
              </w:rPr>
              <w:t>（二）围绕新能源和新材料关键原料布局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_Toc231910707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2A3E030" w14:textId="2A7F24C8" w:rsidR="00DD5EE2" w:rsidRDefault="00DD5EE2">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31910708" w:history="1">
            <w:r w:rsidRPr="007063E9">
              <w:rPr>
                <w:rStyle w:val="af2"/>
                <w:rFonts w:ascii="宋体" w:hAnsi="宋体"/>
                <w:b/>
                <w:bCs/>
                <w:noProof/>
                <w:lang w:eastAsia="zh-Hans"/>
              </w:rPr>
              <w:t>（三）围绕高端制造和贵金属产业链布局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_Toc231910708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3DC3673" w14:textId="6B0DD5A5" w:rsidR="00DD5EE2" w:rsidRDefault="00DD5EE2">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31910709" w:history="1">
            <w:r w:rsidRPr="007063E9">
              <w:rPr>
                <w:rStyle w:val="af2"/>
                <w:rFonts w:ascii="宋体" w:hAnsi="宋体"/>
                <w:b/>
                <w:bCs/>
                <w:noProof/>
                <w:lang w:eastAsia="zh-Hans"/>
              </w:rPr>
              <w:t>（四）体现产业链系统化布局思路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_Toc231910709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221CFA5" w14:textId="3D866E89" w:rsidR="00DD5EE2" w:rsidRDefault="00DD5EE2">
          <w:pPr>
            <w:pStyle w:val="TOC1"/>
            <w:spacing w:before="156"/>
            <w:rPr>
              <w:rFonts w:asciiTheme="minorHAnsi" w:eastAsiaTheme="minorEastAsia" w:hAnsiTheme="minorHAnsi" w:cstheme="minorBidi" w:hint="eastAsia"/>
              <w:b w:val="0"/>
              <w:noProof/>
              <w:sz w:val="22"/>
              <w14:ligatures w14:val="standardContextual"/>
            </w:rPr>
          </w:pPr>
          <w:hyperlink w:anchor="_Toc231910710" w:history="1">
            <w:r w:rsidRPr="007063E9">
              <w:rPr>
                <w:rStyle w:val="af2"/>
                <w:rFonts w:ascii="宋体" w:hAnsi="宋体"/>
                <w:bCs/>
                <w:noProof/>
                <w:lang w:eastAsia="zh-Hans"/>
              </w:rPr>
              <w:t>四、广州期货交易所产品创新的逻辑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_Toc231910710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627ACB5" w14:textId="09617960" w:rsidR="00DD5EE2" w:rsidRDefault="00DD5EE2">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31910711" w:history="1">
            <w:r w:rsidRPr="007063E9">
              <w:rPr>
                <w:rStyle w:val="af2"/>
                <w:rFonts w:ascii="宋体" w:hAnsi="宋体"/>
                <w:b/>
                <w:bCs/>
                <w:noProof/>
                <w:lang w:eastAsia="zh-Hans"/>
              </w:rPr>
              <w:t>（一）服务国家战略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_Toc231910711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B196556" w14:textId="13F2AECB" w:rsidR="00DD5EE2" w:rsidRDefault="00DD5EE2">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31910712" w:history="1">
            <w:r w:rsidRPr="007063E9">
              <w:rPr>
                <w:rStyle w:val="af2"/>
                <w:rFonts w:ascii="宋体" w:hAnsi="宋体"/>
                <w:b/>
                <w:bCs/>
                <w:noProof/>
                <w:lang w:eastAsia="zh-Hans"/>
              </w:rPr>
              <w:t>（二）服务产业痛点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_Toc231910712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85155F5" w14:textId="07573201" w:rsidR="00DD5EE2" w:rsidRDefault="00DD5EE2">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31910713" w:history="1">
            <w:r w:rsidRPr="007063E9">
              <w:rPr>
                <w:rStyle w:val="af2"/>
                <w:rFonts w:ascii="宋体" w:hAnsi="宋体"/>
                <w:b/>
                <w:bCs/>
                <w:noProof/>
                <w:lang w:eastAsia="zh-Hans"/>
              </w:rPr>
              <w:t>（三）服务市场建设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_Toc231910713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35B56F2" w14:textId="45C1FF8F" w:rsidR="00DD5EE2" w:rsidRDefault="00DD5EE2">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31910714" w:history="1">
            <w:r w:rsidRPr="007063E9">
              <w:rPr>
                <w:rStyle w:val="af2"/>
                <w:rFonts w:ascii="宋体" w:hAnsi="宋体"/>
                <w:b/>
                <w:bCs/>
                <w:noProof/>
                <w:lang w:eastAsia="zh-Hans"/>
              </w:rPr>
              <w:t>（四）服务开放协同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_Toc231910714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2234B91" w14:textId="4A2DB68A" w:rsidR="00DD5EE2" w:rsidRDefault="00DD5EE2">
          <w:pPr>
            <w:pStyle w:val="TOC1"/>
            <w:spacing w:before="156"/>
            <w:rPr>
              <w:rFonts w:asciiTheme="minorHAnsi" w:eastAsiaTheme="minorEastAsia" w:hAnsiTheme="minorHAnsi" w:cstheme="minorBidi" w:hint="eastAsia"/>
              <w:b w:val="0"/>
              <w:noProof/>
              <w:sz w:val="22"/>
              <w14:ligatures w14:val="standardContextual"/>
            </w:rPr>
          </w:pPr>
          <w:hyperlink w:anchor="_Toc231910715" w:history="1">
            <w:r w:rsidRPr="007063E9">
              <w:rPr>
                <w:rStyle w:val="af2"/>
                <w:rFonts w:ascii="宋体" w:hAnsi="宋体"/>
                <w:bCs/>
                <w:noProof/>
                <w:lang w:eastAsia="zh-Hans"/>
              </w:rPr>
              <w:t>五、广期所对相关行业高质量发展的积极作用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_Toc231910715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F16E8B9" w14:textId="3A6F3351" w:rsidR="00DD5EE2" w:rsidRDefault="00DD5EE2">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31910716" w:history="1">
            <w:r w:rsidRPr="007063E9">
              <w:rPr>
                <w:rStyle w:val="af2"/>
                <w:rFonts w:ascii="宋体" w:hAnsi="宋体"/>
                <w:b/>
                <w:bCs/>
                <w:noProof/>
                <w:lang w:eastAsia="zh-Hans"/>
              </w:rPr>
              <w:t>（一）帮助企业稳定经营预期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_Toc231910716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CEABC07" w14:textId="2D2B1358" w:rsidR="00DD5EE2" w:rsidRDefault="00DD5EE2">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31910717" w:history="1">
            <w:r w:rsidRPr="007063E9">
              <w:rPr>
                <w:rStyle w:val="af2"/>
                <w:rFonts w:ascii="宋体" w:hAnsi="宋体"/>
                <w:b/>
                <w:bCs/>
                <w:noProof/>
                <w:lang w:eastAsia="zh-Hans"/>
              </w:rPr>
              <w:t>（二）提升产业链定价效率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_Toc231910717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43C2292" w14:textId="421AC382" w:rsidR="00DD5EE2" w:rsidRDefault="00DD5EE2">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31910718" w:history="1">
            <w:r w:rsidRPr="007063E9">
              <w:rPr>
                <w:rStyle w:val="af2"/>
                <w:rFonts w:ascii="宋体" w:hAnsi="宋体"/>
                <w:b/>
                <w:bCs/>
                <w:noProof/>
                <w:lang w:eastAsia="zh-Hans"/>
              </w:rPr>
              <w:t>（三）促进绿色转型与低碳发展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_Toc231910718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2072690" w14:textId="6985CCEA" w:rsidR="00DD5EE2" w:rsidRDefault="00DD5EE2">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31910719" w:history="1">
            <w:r w:rsidRPr="007063E9">
              <w:rPr>
                <w:rStyle w:val="af2"/>
                <w:rFonts w:ascii="宋体" w:hAnsi="宋体"/>
                <w:b/>
                <w:bCs/>
                <w:noProof/>
                <w:lang w:eastAsia="zh-Hans"/>
              </w:rPr>
              <w:t>（四）推动行业标准化与规范化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_Toc231910719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75F2EF7" w14:textId="6F64B435" w:rsidR="00DD5EE2" w:rsidRDefault="00DD5EE2">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31910720" w:history="1">
            <w:r w:rsidRPr="007063E9">
              <w:rPr>
                <w:rStyle w:val="af2"/>
                <w:rFonts w:ascii="宋体" w:hAnsi="宋体"/>
                <w:b/>
                <w:bCs/>
                <w:noProof/>
                <w:lang w:eastAsia="zh-Hans"/>
              </w:rPr>
              <w:t>（五）增强产业链韧性和安全水平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_Toc231910720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9998C9B" w14:textId="25505F77" w:rsidR="00DD5EE2" w:rsidRDefault="00DD5EE2">
          <w:pPr>
            <w:pStyle w:val="TOC1"/>
            <w:spacing w:before="156"/>
            <w:rPr>
              <w:rFonts w:asciiTheme="minorHAnsi" w:eastAsiaTheme="minorEastAsia" w:hAnsiTheme="minorHAnsi" w:cstheme="minorBidi" w:hint="eastAsia"/>
              <w:b w:val="0"/>
              <w:noProof/>
              <w:sz w:val="22"/>
              <w14:ligatures w14:val="standardContextual"/>
            </w:rPr>
          </w:pPr>
          <w:hyperlink w:anchor="_Toc231910721" w:history="1">
            <w:r w:rsidRPr="007063E9">
              <w:rPr>
                <w:rStyle w:val="af2"/>
                <w:rFonts w:ascii="宋体" w:hAnsi="宋体"/>
                <w:bCs/>
                <w:noProof/>
                <w:lang w:eastAsia="zh-Hans"/>
              </w:rPr>
              <w:t>六、数据与事实支撑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_Toc231910721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2B3C5BD" w14:textId="021A0001" w:rsidR="00DD5EE2" w:rsidRDefault="00DD5EE2">
          <w:pPr>
            <w:pStyle w:val="TOC1"/>
            <w:spacing w:before="156"/>
            <w:rPr>
              <w:rFonts w:asciiTheme="minorHAnsi" w:eastAsiaTheme="minorEastAsia" w:hAnsiTheme="minorHAnsi" w:cstheme="minorBidi" w:hint="eastAsia"/>
              <w:b w:val="0"/>
              <w:noProof/>
              <w:sz w:val="22"/>
              <w14:ligatures w14:val="standardContextual"/>
            </w:rPr>
          </w:pPr>
          <w:hyperlink w:anchor="_Toc231910722" w:history="1">
            <w:r w:rsidRPr="007063E9">
              <w:rPr>
                <w:rStyle w:val="af2"/>
                <w:rFonts w:ascii="宋体" w:hAnsi="宋体"/>
                <w:bCs/>
                <w:noProof/>
                <w:lang w:eastAsia="zh-Hans"/>
              </w:rPr>
              <w:t>七、存在的问题与未来展望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_Toc231910722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688F077" w14:textId="3A7EE71A" w:rsidR="00DD5EE2" w:rsidRDefault="00DD5EE2">
          <w:r>
            <w:rPr>
              <w:b/>
              <w:bCs/>
              <w:lang w:val="zh-CN"/>
            </w:rPr>
            <w:fldChar w:fldCharType="end"/>
          </w:r>
        </w:p>
      </w:sdtContent>
    </w:sdt>
    <w:p w14:paraId="586EE5B2" w14:textId="77777777" w:rsidR="00D272D6" w:rsidRDefault="00D272D6" w:rsidP="00DD5EE2">
      <w:pPr>
        <w:pStyle w:val="1"/>
        <w:spacing w:before="0" w:after="0" w:line="300" w:lineRule="auto"/>
        <w:rPr>
          <w:rFonts w:ascii="宋体" w:hAnsi="宋体" w:hint="eastAsia"/>
          <w:bCs w:val="0"/>
          <w:sz w:val="28"/>
          <w:szCs w:val="28"/>
          <w:lang w:eastAsia="zh-Hans"/>
        </w:rPr>
        <w:sectPr w:rsidR="00D272D6">
          <w:footerReference w:type="default" r:id="rId15"/>
          <w:pgSz w:w="11906" w:h="16838"/>
          <w:pgMar w:top="1440" w:right="1800" w:bottom="1440" w:left="1800" w:header="851" w:footer="992" w:gutter="0"/>
          <w:pgNumType w:fmt="upperRoman"/>
          <w:cols w:space="720"/>
          <w:docGrid w:type="lines" w:linePitch="312"/>
        </w:sectPr>
      </w:pPr>
    </w:p>
    <w:bookmarkEnd w:id="7"/>
    <w:bookmarkEnd w:id="6"/>
    <w:p w14:paraId="59823714" w14:textId="4889C557" w:rsidR="00420E42" w:rsidRPr="00420E42" w:rsidRDefault="00420E42" w:rsidP="00420E42">
      <w:pPr>
        <w:widowControl/>
        <w:spacing w:line="300" w:lineRule="auto"/>
        <w:jc w:val="left"/>
        <w:rPr>
          <w:rFonts w:ascii="宋体" w:hAnsi="宋体" w:hint="eastAsia"/>
          <w:b/>
          <w:kern w:val="44"/>
          <w:sz w:val="28"/>
          <w:szCs w:val="28"/>
          <w:lang w:eastAsia="zh-Hans"/>
        </w:rPr>
      </w:pPr>
    </w:p>
    <w:p w14:paraId="7121F4B2" w14:textId="77777777" w:rsidR="006162D7" w:rsidRPr="00F32007" w:rsidRDefault="006162D7" w:rsidP="00DD5EE2">
      <w:pPr>
        <w:widowControl/>
        <w:spacing w:line="300" w:lineRule="auto"/>
        <w:ind w:firstLine="420"/>
        <w:jc w:val="left"/>
        <w:outlineLvl w:val="0"/>
        <w:rPr>
          <w:rFonts w:ascii="宋体" w:hAnsi="宋体" w:hint="eastAsia"/>
          <w:b/>
          <w:bCs/>
          <w:sz w:val="28"/>
          <w:szCs w:val="28"/>
          <w:lang w:eastAsia="zh-Hans"/>
        </w:rPr>
      </w:pPr>
      <w:bookmarkStart w:id="8" w:name="_Toc231910700"/>
      <w:r w:rsidRPr="00F32007">
        <w:rPr>
          <w:rFonts w:ascii="宋体" w:hAnsi="宋体"/>
          <w:b/>
          <w:bCs/>
          <w:sz w:val="28"/>
          <w:szCs w:val="28"/>
          <w:lang w:eastAsia="zh-Hans"/>
        </w:rPr>
        <w:t>一、引言</w:t>
      </w:r>
      <w:bookmarkEnd w:id="8"/>
    </w:p>
    <w:p w14:paraId="3EB53824" w14:textId="77777777" w:rsidR="006162D7" w:rsidRPr="006162D7" w:rsidRDefault="006162D7" w:rsidP="00CF1BB3">
      <w:pPr>
        <w:widowControl/>
        <w:spacing w:line="300" w:lineRule="auto"/>
        <w:ind w:firstLine="420"/>
        <w:jc w:val="left"/>
        <w:rPr>
          <w:rFonts w:ascii="宋体" w:hAnsi="宋体" w:hint="eastAsia"/>
          <w:bCs/>
          <w:szCs w:val="32"/>
          <w:lang w:eastAsia="zh-Hans"/>
        </w:rPr>
      </w:pPr>
      <w:r w:rsidRPr="006162D7">
        <w:rPr>
          <w:rFonts w:ascii="宋体" w:hAnsi="宋体"/>
          <w:bCs/>
          <w:szCs w:val="32"/>
          <w:lang w:eastAsia="zh-Hans"/>
        </w:rPr>
        <w:t>期货及衍生品市场是现代市场体系的重要组成部分，其核心功能在于通过标准化合约、集中交易、公开竞价和严格交割等制度安排，为市场主体提供管理价格风险的工具，并形成具有前瞻性的价格信号。与现货市场相比，期货市场的制度优势并不在于对价格走势作出简单判断，而在于其能够将分散于各类市场主体中的供需预期、风险偏好与交易意愿集中到公开市场之中，从而形成连续、透明且具有可比性的远期价格。正因如此，期货市场在大宗商品、能源、制造业和农业等领域都具有重要的资源配置价值。</w:t>
      </w:r>
    </w:p>
    <w:p w14:paraId="49379113" w14:textId="77777777" w:rsidR="006162D7" w:rsidRPr="006162D7" w:rsidRDefault="006162D7" w:rsidP="006162D7">
      <w:pPr>
        <w:widowControl/>
        <w:spacing w:line="300" w:lineRule="auto"/>
        <w:jc w:val="left"/>
        <w:rPr>
          <w:rFonts w:ascii="宋体" w:hAnsi="宋体" w:hint="eastAsia"/>
          <w:bCs/>
          <w:szCs w:val="32"/>
          <w:lang w:eastAsia="zh-Hans"/>
        </w:rPr>
      </w:pPr>
      <w:r w:rsidRPr="006162D7">
        <w:rPr>
          <w:rFonts w:ascii="宋体" w:hAnsi="宋体"/>
          <w:bCs/>
          <w:szCs w:val="32"/>
          <w:lang w:eastAsia="zh-Hans"/>
        </w:rPr>
        <w:t>在“双碳”目标和高质量发展战略背景下，我国新能源、新材料、节能环保等产业快速成长。这些产业既是推动经济结构升级的重要力量，也是推动绿色转型的重要支点。然而，相关行业普遍具有原材料价格波动大、技术迭代快、产业链环节多、国际联动性强等特点。例如，碳酸锂是动力电池产业的重要原材料，工业硅是光伏产业的重要基础材料，铂、钯等贵金属又与汽车催化、高端制造和部分化工环节密切相关。上述品种价格往往受供需关系、宏观预期、国际市场和政策因素共同影响，波动幅度较大。若缺乏成熟的风险管理工具，企业容易在原材料采购、产品定价、库存管理和资本开支方面陷入被动，进而影响企业盈利稳定性和行业运行效率。</w:t>
      </w:r>
    </w:p>
    <w:p w14:paraId="73C55121" w14:textId="77777777" w:rsidR="006162D7" w:rsidRPr="006162D7" w:rsidRDefault="006162D7" w:rsidP="006162D7">
      <w:pPr>
        <w:widowControl/>
        <w:spacing w:line="300" w:lineRule="auto"/>
        <w:jc w:val="left"/>
        <w:rPr>
          <w:rFonts w:ascii="宋体" w:hAnsi="宋体" w:hint="eastAsia"/>
          <w:bCs/>
          <w:szCs w:val="32"/>
          <w:lang w:eastAsia="zh-Hans"/>
        </w:rPr>
      </w:pPr>
      <w:r w:rsidRPr="006162D7">
        <w:rPr>
          <w:rFonts w:ascii="宋体" w:hAnsi="宋体"/>
          <w:bCs/>
          <w:szCs w:val="32"/>
          <w:lang w:eastAsia="zh-Hans"/>
        </w:rPr>
        <w:t>广州期货交易所的设立，正是我国期货市场服务实体经济升级的重要体现。广期所以服务绿色发展、服务科技创新为导向，围绕与新能源、新材料、碳减排相关的重点品种进行产品布局，努力构建适应绿色转型需求的衍生品工具体系。与传统综合性商品交易所相比，广期所的定位更聚焦、方向更鲜明，既体现了金融服务国家战略的功能，也体现了期货市场贴近产业、服务实体的本源要求。因此，对广期所产品布局、创新逻辑及其经济效应进行系统分析，不仅有助于理解我国期货市场结构优化的方向，也有助于认识金融工具如何更有效地嵌入现代产业链并服务高质量发展。</w:t>
      </w:r>
    </w:p>
    <w:p w14:paraId="73C646E9" w14:textId="77777777" w:rsidR="006162D7" w:rsidRPr="00CF1BB3" w:rsidRDefault="006162D7" w:rsidP="00DD5EE2">
      <w:pPr>
        <w:widowControl/>
        <w:spacing w:line="300" w:lineRule="auto"/>
        <w:ind w:firstLine="420"/>
        <w:jc w:val="left"/>
        <w:outlineLvl w:val="0"/>
        <w:rPr>
          <w:rFonts w:ascii="宋体" w:hAnsi="宋体" w:hint="eastAsia"/>
          <w:b/>
          <w:bCs/>
          <w:sz w:val="28"/>
          <w:szCs w:val="28"/>
          <w:lang w:eastAsia="zh-Hans"/>
        </w:rPr>
      </w:pPr>
      <w:bookmarkStart w:id="9" w:name="_Toc231910701"/>
      <w:r w:rsidRPr="00CF1BB3">
        <w:rPr>
          <w:rFonts w:ascii="宋体" w:hAnsi="宋体"/>
          <w:b/>
          <w:bCs/>
          <w:sz w:val="28"/>
          <w:szCs w:val="28"/>
          <w:lang w:eastAsia="zh-Hans"/>
        </w:rPr>
        <w:t>二、期货及衍生品市场的功能基础：风险管理与价格发现</w:t>
      </w:r>
      <w:bookmarkEnd w:id="9"/>
    </w:p>
    <w:p w14:paraId="189B5674" w14:textId="77777777" w:rsidR="006162D7" w:rsidRPr="006162D7" w:rsidRDefault="006162D7" w:rsidP="00DD5EE2">
      <w:pPr>
        <w:widowControl/>
        <w:spacing w:line="300" w:lineRule="auto"/>
        <w:ind w:firstLine="420"/>
        <w:jc w:val="left"/>
        <w:outlineLvl w:val="1"/>
        <w:rPr>
          <w:rFonts w:ascii="宋体" w:hAnsi="宋体" w:hint="eastAsia"/>
          <w:b/>
          <w:bCs/>
          <w:szCs w:val="32"/>
          <w:lang w:eastAsia="zh-Hans"/>
        </w:rPr>
      </w:pPr>
      <w:bookmarkStart w:id="10" w:name="_Toc231910702"/>
      <w:r w:rsidRPr="006162D7">
        <w:rPr>
          <w:rFonts w:ascii="宋体" w:hAnsi="宋体"/>
          <w:b/>
          <w:bCs/>
          <w:szCs w:val="32"/>
          <w:lang w:eastAsia="zh-Hans"/>
        </w:rPr>
        <w:t>（一）风险管理功能</w:t>
      </w:r>
      <w:bookmarkEnd w:id="10"/>
    </w:p>
    <w:p w14:paraId="1A5052B8" w14:textId="26D12F79" w:rsidR="006162D7" w:rsidRPr="006162D7" w:rsidRDefault="006162D7" w:rsidP="00CF1BB3">
      <w:pPr>
        <w:widowControl/>
        <w:spacing w:line="300" w:lineRule="auto"/>
        <w:ind w:firstLine="420"/>
        <w:jc w:val="left"/>
        <w:rPr>
          <w:rFonts w:ascii="宋体" w:hAnsi="宋体" w:hint="eastAsia"/>
          <w:bCs/>
          <w:szCs w:val="32"/>
          <w:lang w:eastAsia="zh-Hans"/>
        </w:rPr>
      </w:pPr>
      <w:r w:rsidRPr="006162D7">
        <w:rPr>
          <w:rFonts w:ascii="宋体" w:hAnsi="宋体"/>
          <w:bCs/>
          <w:szCs w:val="32"/>
          <w:lang w:eastAsia="zh-Hans"/>
        </w:rPr>
        <w:t>风险管理是期货及衍生品市场最基本、最现实的功能。企业在经营过程中往往需要面对价格不确定性，而这种不确定性可能来自原材料涨价、产品价格下跌、国际市场波动、汇率变化、库存积压等多个方面。对于上游生产企业而言，如果原料价格下跌，企业销售收入会受到影响；对于中游加工企业而言，如果原材料价格上涨，则生产成本会显著增加；对于下游制造企业而言，若采购价格频繁波动，企业很难稳定预算与利润目标。期货市场为企业提供了通过</w:t>
      </w:r>
      <w:r w:rsidRPr="006162D7">
        <w:rPr>
          <w:rFonts w:ascii="宋体" w:hAnsi="宋体"/>
          <w:bCs/>
          <w:szCs w:val="32"/>
          <w:lang w:eastAsia="zh-Hans"/>
        </w:rPr>
        <w:lastRenderedPageBreak/>
        <w:t>套期保值锁定未来价格的可能，使企业能够把一部分价格风险从现货市场转移到期货市场，从而提高经营稳定性。</w:t>
      </w:r>
    </w:p>
    <w:p w14:paraId="168227A0" w14:textId="77777777" w:rsidR="006162D7" w:rsidRPr="006162D7" w:rsidRDefault="006162D7" w:rsidP="006162D7">
      <w:pPr>
        <w:widowControl/>
        <w:spacing w:line="300" w:lineRule="auto"/>
        <w:jc w:val="left"/>
        <w:rPr>
          <w:rFonts w:ascii="宋体" w:hAnsi="宋体" w:hint="eastAsia"/>
          <w:bCs/>
          <w:szCs w:val="32"/>
          <w:lang w:eastAsia="zh-Hans"/>
        </w:rPr>
      </w:pPr>
      <w:r w:rsidRPr="006162D7">
        <w:rPr>
          <w:rFonts w:ascii="宋体" w:hAnsi="宋体"/>
          <w:bCs/>
          <w:szCs w:val="32"/>
          <w:lang w:eastAsia="zh-Hans"/>
        </w:rPr>
        <w:t>从功能机制看，套期保值并不是为了追求投机收益，而是为了降低价格波动对经营活动的冲击。企业在期货市场建立与现货头寸相反的仓位，能够在现货市场价格变化时，通过期货市场的盈亏对冲掉相应风险。这样一来，企业关注的重点就不再是短期价格涨跌本身，而是生产、研发、质量和市场拓展等更具长期价值的经营事项。对于绿色低碳和新能源行业来说，这一功能尤为重要，因为相关产业往往处在快速成长阶段，利润水平、投资周期和产能安排对原料价格十分敏感。</w:t>
      </w:r>
    </w:p>
    <w:p w14:paraId="1A36E33E" w14:textId="77777777" w:rsidR="006162D7" w:rsidRPr="006162D7" w:rsidRDefault="006162D7" w:rsidP="00DD5EE2">
      <w:pPr>
        <w:widowControl/>
        <w:spacing w:line="300" w:lineRule="auto"/>
        <w:ind w:firstLine="420"/>
        <w:jc w:val="left"/>
        <w:outlineLvl w:val="1"/>
        <w:rPr>
          <w:rFonts w:ascii="宋体" w:hAnsi="宋体" w:hint="eastAsia"/>
          <w:b/>
          <w:bCs/>
          <w:szCs w:val="32"/>
          <w:lang w:eastAsia="zh-Hans"/>
        </w:rPr>
      </w:pPr>
      <w:bookmarkStart w:id="11" w:name="_Toc231910703"/>
      <w:r w:rsidRPr="006162D7">
        <w:rPr>
          <w:rFonts w:ascii="宋体" w:hAnsi="宋体"/>
          <w:b/>
          <w:bCs/>
          <w:szCs w:val="32"/>
          <w:lang w:eastAsia="zh-Hans"/>
        </w:rPr>
        <w:t>（二）价格发现功能</w:t>
      </w:r>
      <w:bookmarkEnd w:id="11"/>
    </w:p>
    <w:p w14:paraId="46B88B41" w14:textId="77777777" w:rsidR="006162D7" w:rsidRPr="006162D7" w:rsidRDefault="006162D7" w:rsidP="00CF1BB3">
      <w:pPr>
        <w:widowControl/>
        <w:spacing w:line="300" w:lineRule="auto"/>
        <w:ind w:firstLine="420"/>
        <w:jc w:val="left"/>
        <w:rPr>
          <w:rFonts w:ascii="宋体" w:hAnsi="宋体" w:hint="eastAsia"/>
          <w:bCs/>
          <w:szCs w:val="32"/>
          <w:lang w:eastAsia="zh-Hans"/>
        </w:rPr>
      </w:pPr>
      <w:r w:rsidRPr="006162D7">
        <w:rPr>
          <w:rFonts w:ascii="宋体" w:hAnsi="宋体"/>
          <w:bCs/>
          <w:szCs w:val="32"/>
          <w:lang w:eastAsia="zh-Hans"/>
        </w:rPr>
        <w:t>价格发现是指通过期货市场的连续交易、多主体参与和公开竞价，形成能够反映市场供求关系和未来预期的价格信号。相比现货市场，期货价格的形成过程更加标准化、透明化和前瞻化，因此可以更早地反映市场参与者对未来供需、政策和宏观环境的判断。对于企业而言，期货价格不仅是交易依据，也是制定采购计划、销售计划和库存策略的重要参考；对于政府和行业组织而言，期货价格还可以作为观察行业景气度、判断资源配置方向和制定产业政策的重要信号。</w:t>
      </w:r>
    </w:p>
    <w:p w14:paraId="30C30C43" w14:textId="77777777" w:rsidR="006162D7" w:rsidRPr="006162D7" w:rsidRDefault="006162D7" w:rsidP="00CF1BB3">
      <w:pPr>
        <w:widowControl/>
        <w:spacing w:line="300" w:lineRule="auto"/>
        <w:ind w:firstLine="420"/>
        <w:jc w:val="left"/>
        <w:rPr>
          <w:rFonts w:ascii="宋体" w:hAnsi="宋体" w:hint="eastAsia"/>
          <w:bCs/>
          <w:szCs w:val="32"/>
          <w:lang w:eastAsia="zh-Hans"/>
        </w:rPr>
      </w:pPr>
      <w:r w:rsidRPr="006162D7">
        <w:rPr>
          <w:rFonts w:ascii="宋体" w:hAnsi="宋体"/>
          <w:bCs/>
          <w:szCs w:val="32"/>
          <w:lang w:eastAsia="zh-Hans"/>
        </w:rPr>
        <w:t>价格发现功能之所以重要，根本原因在于现代产业链日益复杂，单靠零散的现货交易已经难以充分反映供需变化和市场预期。以新能源材料为例，上游资源端、中游加工端和下游应用端存在明显的利润传导关系，某一环节价格变动会很快向其他环节扩散。如果没有统一、连续的公开价格信号，企业之间就容易出现信息不对称，甚至导致盲目扩产、库存失衡和价格战。期货市场通过集中交易形成较具权威性的基准价格，有助于提升市场运行效率，也有助于增强产业链协同。</w:t>
      </w:r>
    </w:p>
    <w:p w14:paraId="45BA4367" w14:textId="77777777" w:rsidR="006162D7" w:rsidRPr="006162D7" w:rsidRDefault="006162D7" w:rsidP="00DD5EE2">
      <w:pPr>
        <w:widowControl/>
        <w:spacing w:line="300" w:lineRule="auto"/>
        <w:ind w:firstLine="420"/>
        <w:jc w:val="left"/>
        <w:outlineLvl w:val="1"/>
        <w:rPr>
          <w:rFonts w:ascii="宋体" w:hAnsi="宋体" w:hint="eastAsia"/>
          <w:b/>
          <w:bCs/>
          <w:szCs w:val="32"/>
          <w:lang w:eastAsia="zh-Hans"/>
        </w:rPr>
      </w:pPr>
      <w:bookmarkStart w:id="12" w:name="_Toc231910704"/>
      <w:r w:rsidRPr="006162D7">
        <w:rPr>
          <w:rFonts w:ascii="宋体" w:hAnsi="宋体"/>
          <w:b/>
          <w:bCs/>
          <w:szCs w:val="32"/>
          <w:lang w:eastAsia="zh-Hans"/>
        </w:rPr>
        <w:t>（三）两大功能统一于服务实体经济</w:t>
      </w:r>
      <w:bookmarkEnd w:id="12"/>
    </w:p>
    <w:p w14:paraId="15B890D3" w14:textId="77777777" w:rsidR="006162D7" w:rsidRPr="006162D7" w:rsidRDefault="006162D7" w:rsidP="00CF1BB3">
      <w:pPr>
        <w:widowControl/>
        <w:spacing w:line="300" w:lineRule="auto"/>
        <w:ind w:firstLine="420"/>
        <w:jc w:val="left"/>
        <w:rPr>
          <w:rFonts w:ascii="宋体" w:hAnsi="宋体" w:hint="eastAsia"/>
          <w:bCs/>
          <w:szCs w:val="32"/>
          <w:lang w:eastAsia="zh-Hans"/>
        </w:rPr>
      </w:pPr>
      <w:r w:rsidRPr="006162D7">
        <w:rPr>
          <w:rFonts w:ascii="宋体" w:hAnsi="宋体"/>
          <w:bCs/>
          <w:szCs w:val="32"/>
          <w:lang w:eastAsia="zh-Hans"/>
        </w:rPr>
        <w:t>风险管理和价格发现并不是孤立存在的，两者共同构成期货市场服务实体经济的核心机制。只有具备足够流动性和代表性的市场，价格发现才有意义；只有具备真实产业需求和完善交割制度的市场，风险管理才真正可落地。也就是说，期货市场要真正发挥作用，必须建立在产业参与、制度健全和市场活跃的基础上。广州期货交易所围绕绿色低碳与新材料方向进行布局，本质上就是把风险管理工具和价格信号系统嵌入国家产业转型过程之中，使金融服务更有效地对接实体经济需求。</w:t>
      </w:r>
    </w:p>
    <w:p w14:paraId="6498B04A" w14:textId="77777777" w:rsidR="006162D7" w:rsidRPr="00CF1BB3" w:rsidRDefault="006162D7" w:rsidP="00DD5EE2">
      <w:pPr>
        <w:widowControl/>
        <w:spacing w:line="300" w:lineRule="auto"/>
        <w:ind w:firstLine="420"/>
        <w:jc w:val="left"/>
        <w:outlineLvl w:val="0"/>
        <w:rPr>
          <w:rFonts w:ascii="宋体" w:hAnsi="宋体" w:hint="eastAsia"/>
          <w:b/>
          <w:bCs/>
          <w:sz w:val="28"/>
          <w:szCs w:val="28"/>
          <w:lang w:eastAsia="zh-Hans"/>
        </w:rPr>
      </w:pPr>
      <w:bookmarkStart w:id="13" w:name="_Toc231910705"/>
      <w:r w:rsidRPr="00CF1BB3">
        <w:rPr>
          <w:rFonts w:ascii="宋体" w:hAnsi="宋体"/>
          <w:b/>
          <w:bCs/>
          <w:sz w:val="28"/>
          <w:szCs w:val="28"/>
          <w:lang w:eastAsia="zh-Hans"/>
        </w:rPr>
        <w:t>三、广州期货交易所的产品布局及其特点</w:t>
      </w:r>
      <w:bookmarkEnd w:id="13"/>
    </w:p>
    <w:p w14:paraId="50AFE538" w14:textId="77777777" w:rsidR="006162D7" w:rsidRPr="006162D7" w:rsidRDefault="006162D7" w:rsidP="00CF1BB3">
      <w:pPr>
        <w:widowControl/>
        <w:spacing w:line="300" w:lineRule="auto"/>
        <w:ind w:firstLine="420"/>
        <w:jc w:val="left"/>
        <w:rPr>
          <w:rFonts w:ascii="宋体" w:hAnsi="宋体" w:hint="eastAsia"/>
          <w:bCs/>
          <w:szCs w:val="32"/>
          <w:lang w:eastAsia="zh-Hans"/>
        </w:rPr>
      </w:pPr>
      <w:r w:rsidRPr="006162D7">
        <w:rPr>
          <w:rFonts w:ascii="宋体" w:hAnsi="宋体"/>
          <w:bCs/>
          <w:szCs w:val="32"/>
          <w:lang w:eastAsia="zh-Hans"/>
        </w:rPr>
        <w:lastRenderedPageBreak/>
        <w:t>广州期货交易所自设立以来，始终围绕绿色低碳、新能源和新材料方向推进产品布局，这种布局不是简单追求品种数量的扩张，而是聚焦关键产业链环节和高波动、高需求的核心品种，具有很强的现实针对性和战略指向性。</w:t>
      </w:r>
    </w:p>
    <w:p w14:paraId="06F96320" w14:textId="77777777" w:rsidR="006162D7" w:rsidRPr="006162D7" w:rsidRDefault="006162D7" w:rsidP="00DD5EE2">
      <w:pPr>
        <w:widowControl/>
        <w:spacing w:line="300" w:lineRule="auto"/>
        <w:ind w:firstLine="420"/>
        <w:jc w:val="left"/>
        <w:outlineLvl w:val="1"/>
        <w:rPr>
          <w:rFonts w:ascii="宋体" w:hAnsi="宋体" w:hint="eastAsia"/>
          <w:b/>
          <w:bCs/>
          <w:szCs w:val="32"/>
          <w:lang w:eastAsia="zh-Hans"/>
        </w:rPr>
      </w:pPr>
      <w:bookmarkStart w:id="14" w:name="_Toc231910706"/>
      <w:r w:rsidRPr="006162D7">
        <w:rPr>
          <w:rFonts w:ascii="宋体" w:hAnsi="宋体"/>
          <w:b/>
          <w:bCs/>
          <w:szCs w:val="32"/>
          <w:lang w:eastAsia="zh-Hans"/>
        </w:rPr>
        <w:t>（一）围绕绿色低碳产业布局</w:t>
      </w:r>
      <w:bookmarkEnd w:id="14"/>
    </w:p>
    <w:p w14:paraId="285C6492" w14:textId="77777777" w:rsidR="006162D7" w:rsidRPr="006162D7" w:rsidRDefault="006162D7" w:rsidP="00CF1BB3">
      <w:pPr>
        <w:widowControl/>
        <w:spacing w:line="300" w:lineRule="auto"/>
        <w:ind w:firstLine="420"/>
        <w:jc w:val="left"/>
        <w:rPr>
          <w:rFonts w:ascii="宋体" w:hAnsi="宋体" w:hint="eastAsia"/>
          <w:bCs/>
          <w:szCs w:val="32"/>
          <w:lang w:eastAsia="zh-Hans"/>
        </w:rPr>
      </w:pPr>
      <w:r w:rsidRPr="006162D7">
        <w:rPr>
          <w:rFonts w:ascii="宋体" w:hAnsi="宋体"/>
          <w:bCs/>
          <w:szCs w:val="32"/>
          <w:lang w:eastAsia="zh-Hans"/>
        </w:rPr>
        <w:t>广期所的战略定位与国家“双碳”目标高度契合。碳达峰、碳中和不仅是能源结构调整问题，也是产业结构、技术结构和金融结构重塑的问题。在这一背景下，碳排放权相关品种以及与绿色低碳相关的衍生品工具，成为广期所产品布局的重要方向。与传统商品品种相比，碳相关工具更强调绿色转型中的价格约束和市场激励功能。其意义不仅在于帮助企业管理碳成本，更在于通过价格机制推动排放责任显性化、减排收益可交易化，从而引导企业主动进行节能改造、工艺优化和能源替代。</w:t>
      </w:r>
    </w:p>
    <w:p w14:paraId="7B8AF360" w14:textId="77777777" w:rsidR="006162D7" w:rsidRPr="006162D7" w:rsidRDefault="006162D7" w:rsidP="00CF1BB3">
      <w:pPr>
        <w:widowControl/>
        <w:spacing w:line="300" w:lineRule="auto"/>
        <w:ind w:firstLine="420"/>
        <w:jc w:val="left"/>
        <w:rPr>
          <w:rFonts w:ascii="宋体" w:hAnsi="宋体" w:hint="eastAsia"/>
          <w:bCs/>
          <w:szCs w:val="32"/>
          <w:lang w:eastAsia="zh-Hans"/>
        </w:rPr>
      </w:pPr>
      <w:r w:rsidRPr="006162D7">
        <w:rPr>
          <w:rFonts w:ascii="宋体" w:hAnsi="宋体"/>
          <w:bCs/>
          <w:szCs w:val="32"/>
          <w:lang w:eastAsia="zh-Hans"/>
        </w:rPr>
        <w:t>绿色低碳方向的产品设计，还体现了金融市场服务绿色治理的制度创新。过去，绿色转型更多依靠行政约束和政策引导，而期货及衍生品工具则有助于把碳排放成本、绿色属性和减排收益转化为市场化价格信号，使企业能够通过更灵活的方式进行经营决策。这种制度安排为绿色发展提供了更具弹性的金融基础设施。</w:t>
      </w:r>
    </w:p>
    <w:p w14:paraId="1CA7AEE0" w14:textId="77777777" w:rsidR="006162D7" w:rsidRPr="006162D7" w:rsidRDefault="006162D7" w:rsidP="00DD5EE2">
      <w:pPr>
        <w:widowControl/>
        <w:spacing w:line="300" w:lineRule="auto"/>
        <w:ind w:firstLine="420"/>
        <w:jc w:val="left"/>
        <w:outlineLvl w:val="1"/>
        <w:rPr>
          <w:rFonts w:ascii="宋体" w:hAnsi="宋体" w:hint="eastAsia"/>
          <w:b/>
          <w:bCs/>
          <w:szCs w:val="32"/>
          <w:lang w:eastAsia="zh-Hans"/>
        </w:rPr>
      </w:pPr>
      <w:bookmarkStart w:id="15" w:name="_Toc231910707"/>
      <w:r w:rsidRPr="006162D7">
        <w:rPr>
          <w:rFonts w:ascii="宋体" w:hAnsi="宋体"/>
          <w:b/>
          <w:bCs/>
          <w:szCs w:val="32"/>
          <w:lang w:eastAsia="zh-Hans"/>
        </w:rPr>
        <w:t>（二）围绕新能源和新材料关键原料布局</w:t>
      </w:r>
      <w:bookmarkEnd w:id="15"/>
    </w:p>
    <w:p w14:paraId="67EC8ABC" w14:textId="77777777" w:rsidR="006162D7" w:rsidRPr="006162D7" w:rsidRDefault="006162D7" w:rsidP="00CF1BB3">
      <w:pPr>
        <w:widowControl/>
        <w:spacing w:line="300" w:lineRule="auto"/>
        <w:ind w:firstLine="420"/>
        <w:jc w:val="left"/>
        <w:rPr>
          <w:rFonts w:ascii="宋体" w:hAnsi="宋体" w:hint="eastAsia"/>
          <w:bCs/>
          <w:szCs w:val="32"/>
          <w:lang w:eastAsia="zh-Hans"/>
        </w:rPr>
      </w:pPr>
      <w:r w:rsidRPr="006162D7">
        <w:rPr>
          <w:rFonts w:ascii="宋体" w:hAnsi="宋体"/>
          <w:bCs/>
          <w:szCs w:val="32"/>
          <w:lang w:eastAsia="zh-Hans"/>
        </w:rPr>
        <w:t>工业硅和碳酸锂是广期所产品布局中最具代表性的品种之一。工业硅是光伏产业的重要基础原料，广泛应用于光伏电池、硅材料及部分化工环节；碳酸锂则是动力电池和储能产业链的关键材料，价格变化会直接影响新能源车、储能系统以及相关中游材料企业的成本与利润。两个品种的共同特点是：一方面，产业需求增长快，市场关注度高；另一方面，价格波动大，企业风险管理需求强烈。</w:t>
      </w:r>
    </w:p>
    <w:p w14:paraId="78933372" w14:textId="77777777" w:rsidR="006162D7" w:rsidRPr="006162D7" w:rsidRDefault="006162D7" w:rsidP="00CF1BB3">
      <w:pPr>
        <w:widowControl/>
        <w:spacing w:line="300" w:lineRule="auto"/>
        <w:ind w:firstLine="420"/>
        <w:jc w:val="left"/>
        <w:rPr>
          <w:rFonts w:ascii="宋体" w:hAnsi="宋体" w:hint="eastAsia"/>
          <w:bCs/>
          <w:szCs w:val="32"/>
          <w:lang w:eastAsia="zh-Hans"/>
        </w:rPr>
      </w:pPr>
      <w:r w:rsidRPr="006162D7">
        <w:rPr>
          <w:rFonts w:ascii="宋体" w:hAnsi="宋体"/>
          <w:bCs/>
          <w:szCs w:val="32"/>
          <w:lang w:eastAsia="zh-Hans"/>
        </w:rPr>
        <w:t>广期所选择这些品种并非偶然，而是基于对产业链痛点的精准识别。新能源产业在我国高质量发展中具有重要地位，但其上游材料价格极易受全球供需、技术替代、政策变化和资本预期影响。若没有标准化衍生工具，企业在采购原材料和制定销售合同价格时往往处于不利位置。广期所通过相关品种的上市，为企业提供了一个公开、透明、可套保的价格工具，有助于帮助上下游企业建立稳定的成本管理体系和风险对冲机制。</w:t>
      </w:r>
    </w:p>
    <w:p w14:paraId="4229A4DC" w14:textId="77777777" w:rsidR="006162D7" w:rsidRPr="006162D7" w:rsidRDefault="006162D7" w:rsidP="00DD5EE2">
      <w:pPr>
        <w:widowControl/>
        <w:spacing w:line="300" w:lineRule="auto"/>
        <w:ind w:firstLine="420"/>
        <w:jc w:val="left"/>
        <w:outlineLvl w:val="1"/>
        <w:rPr>
          <w:rFonts w:ascii="宋体" w:hAnsi="宋体" w:hint="eastAsia"/>
          <w:b/>
          <w:bCs/>
          <w:szCs w:val="32"/>
          <w:lang w:eastAsia="zh-Hans"/>
        </w:rPr>
      </w:pPr>
      <w:bookmarkStart w:id="16" w:name="_Toc231910708"/>
      <w:r w:rsidRPr="006162D7">
        <w:rPr>
          <w:rFonts w:ascii="宋体" w:hAnsi="宋体"/>
          <w:b/>
          <w:bCs/>
          <w:szCs w:val="32"/>
          <w:lang w:eastAsia="zh-Hans"/>
        </w:rPr>
        <w:t>（三）围绕高端制造和贵金属产业链布局</w:t>
      </w:r>
      <w:bookmarkEnd w:id="16"/>
    </w:p>
    <w:p w14:paraId="52A65CEB" w14:textId="77777777" w:rsidR="006162D7" w:rsidRPr="006162D7" w:rsidRDefault="006162D7" w:rsidP="00CF1BB3">
      <w:pPr>
        <w:widowControl/>
        <w:spacing w:line="300" w:lineRule="auto"/>
        <w:ind w:firstLine="420"/>
        <w:jc w:val="left"/>
        <w:rPr>
          <w:rFonts w:ascii="宋体" w:hAnsi="宋体" w:hint="eastAsia"/>
          <w:bCs/>
          <w:szCs w:val="32"/>
          <w:lang w:eastAsia="zh-Hans"/>
        </w:rPr>
      </w:pPr>
      <w:r w:rsidRPr="006162D7">
        <w:rPr>
          <w:rFonts w:ascii="宋体" w:hAnsi="宋体"/>
          <w:bCs/>
          <w:szCs w:val="32"/>
          <w:lang w:eastAsia="zh-Hans"/>
        </w:rPr>
        <w:t>铂、钯等品种与汽车催化、高端制造、化工和贵金属产业链关系密切。这类品种兼具工业属性和金融属性，且国际市场联动性强，价格常常受全球供需、地缘政治、货币政策和国际贸易环境影响。对我国相关企业来说，这类原材料既是重要生产要素，也是价格波动风险较高的经营对象。</w:t>
      </w:r>
    </w:p>
    <w:p w14:paraId="53478AC5" w14:textId="77777777" w:rsidR="006162D7" w:rsidRPr="006162D7" w:rsidRDefault="006162D7" w:rsidP="00CF1BB3">
      <w:pPr>
        <w:widowControl/>
        <w:spacing w:line="300" w:lineRule="auto"/>
        <w:ind w:firstLine="420"/>
        <w:jc w:val="left"/>
        <w:rPr>
          <w:rFonts w:ascii="宋体" w:hAnsi="宋体" w:hint="eastAsia"/>
          <w:bCs/>
          <w:szCs w:val="32"/>
          <w:lang w:eastAsia="zh-Hans"/>
        </w:rPr>
      </w:pPr>
      <w:r w:rsidRPr="006162D7">
        <w:rPr>
          <w:rFonts w:ascii="宋体" w:hAnsi="宋体"/>
          <w:bCs/>
          <w:szCs w:val="32"/>
          <w:lang w:eastAsia="zh-Hans"/>
        </w:rPr>
        <w:lastRenderedPageBreak/>
        <w:t>广期所将这类品种纳入布局，体现出交易所对产业链韧性和高端制造能力的重视。一方面，贵金属及相关材料在环保治理、汽车尾气处理、化工催化等领域具有关键作用；另一方面，这些品种的价格波动会迅速影响企业采购成本和库存价值。通过期货及衍生品工具，企业可以更好地管理跨周期、跨区域的价格风险，增强面对国际市场波动的能力。</w:t>
      </w:r>
    </w:p>
    <w:p w14:paraId="7AA39AE1" w14:textId="77777777" w:rsidR="006162D7" w:rsidRPr="006162D7" w:rsidRDefault="006162D7" w:rsidP="00DD5EE2">
      <w:pPr>
        <w:widowControl/>
        <w:spacing w:line="300" w:lineRule="auto"/>
        <w:ind w:firstLine="420"/>
        <w:jc w:val="left"/>
        <w:outlineLvl w:val="1"/>
        <w:rPr>
          <w:rFonts w:ascii="宋体" w:hAnsi="宋体" w:hint="eastAsia"/>
          <w:b/>
          <w:bCs/>
          <w:szCs w:val="32"/>
          <w:lang w:eastAsia="zh-Hans"/>
        </w:rPr>
      </w:pPr>
      <w:bookmarkStart w:id="17" w:name="_Toc231910709"/>
      <w:r w:rsidRPr="006162D7">
        <w:rPr>
          <w:rFonts w:ascii="宋体" w:hAnsi="宋体"/>
          <w:b/>
          <w:bCs/>
          <w:szCs w:val="32"/>
          <w:lang w:eastAsia="zh-Hans"/>
        </w:rPr>
        <w:t>（四）体现产业链系统化布局思路</w:t>
      </w:r>
      <w:bookmarkEnd w:id="17"/>
    </w:p>
    <w:p w14:paraId="7179987B" w14:textId="77777777" w:rsidR="006162D7" w:rsidRPr="006162D7" w:rsidRDefault="006162D7" w:rsidP="00CF1BB3">
      <w:pPr>
        <w:widowControl/>
        <w:spacing w:line="300" w:lineRule="auto"/>
        <w:ind w:firstLine="420"/>
        <w:jc w:val="left"/>
        <w:rPr>
          <w:rFonts w:ascii="宋体" w:hAnsi="宋体" w:hint="eastAsia"/>
          <w:bCs/>
          <w:szCs w:val="32"/>
          <w:lang w:eastAsia="zh-Hans"/>
        </w:rPr>
      </w:pPr>
      <w:r w:rsidRPr="006162D7">
        <w:rPr>
          <w:rFonts w:ascii="宋体" w:hAnsi="宋体"/>
          <w:bCs/>
          <w:szCs w:val="32"/>
          <w:lang w:eastAsia="zh-Hans"/>
        </w:rPr>
        <w:t>广期所的产品布局不是单点式的，而是具有明显的系统思维。其所选择的品种往往位于产业链关键节点，能够在原材料、加工、应用等环节之间形成较强的联动关系。这样的布局有利于形成跨环节、跨行业的风险管理网络，也有利于形成更具代表性的价格体系。对于一个新设交易所而言，这种系统化布局尤其重要，因为它决定了市场未来的深度、广度和可持续性。</w:t>
      </w:r>
    </w:p>
    <w:p w14:paraId="60DB9281" w14:textId="77777777" w:rsidR="006162D7" w:rsidRPr="00CF1BB3" w:rsidRDefault="006162D7" w:rsidP="00DD5EE2">
      <w:pPr>
        <w:widowControl/>
        <w:spacing w:line="300" w:lineRule="auto"/>
        <w:ind w:firstLine="420"/>
        <w:jc w:val="left"/>
        <w:outlineLvl w:val="0"/>
        <w:rPr>
          <w:rFonts w:ascii="宋体" w:hAnsi="宋体" w:hint="eastAsia"/>
          <w:b/>
          <w:bCs/>
          <w:sz w:val="28"/>
          <w:szCs w:val="28"/>
          <w:lang w:eastAsia="zh-Hans"/>
        </w:rPr>
      </w:pPr>
      <w:bookmarkStart w:id="18" w:name="_Toc231910710"/>
      <w:r w:rsidRPr="00CF1BB3">
        <w:rPr>
          <w:rFonts w:ascii="宋体" w:hAnsi="宋体"/>
          <w:b/>
          <w:bCs/>
          <w:sz w:val="28"/>
          <w:szCs w:val="28"/>
          <w:lang w:eastAsia="zh-Hans"/>
        </w:rPr>
        <w:t>四、广州期货交易所产品创新的逻辑</w:t>
      </w:r>
      <w:bookmarkEnd w:id="18"/>
    </w:p>
    <w:p w14:paraId="62904763" w14:textId="77777777" w:rsidR="006162D7" w:rsidRPr="006162D7" w:rsidRDefault="006162D7" w:rsidP="00CF1BB3">
      <w:pPr>
        <w:widowControl/>
        <w:spacing w:line="300" w:lineRule="auto"/>
        <w:ind w:firstLine="420"/>
        <w:jc w:val="left"/>
        <w:rPr>
          <w:rFonts w:ascii="宋体" w:hAnsi="宋体" w:hint="eastAsia"/>
          <w:bCs/>
          <w:szCs w:val="32"/>
          <w:lang w:eastAsia="zh-Hans"/>
        </w:rPr>
      </w:pPr>
      <w:r w:rsidRPr="006162D7">
        <w:rPr>
          <w:rFonts w:ascii="宋体" w:hAnsi="宋体"/>
          <w:bCs/>
          <w:szCs w:val="32"/>
          <w:lang w:eastAsia="zh-Hans"/>
        </w:rPr>
        <w:t>广州期货交易所之所以能够在较短时间内形成具有辨识度的产品体系，关键在于其创新并不是单纯追求“新”，而是围绕“有效服务实体经济”展开。其创新逻辑可以概括为“四个服务”：服务国家战略、服务产业痛点、服务市场建设、服务开放协同。</w:t>
      </w:r>
    </w:p>
    <w:p w14:paraId="540F89B7" w14:textId="77777777" w:rsidR="006162D7" w:rsidRPr="006162D7" w:rsidRDefault="006162D7" w:rsidP="00DD5EE2">
      <w:pPr>
        <w:widowControl/>
        <w:spacing w:line="300" w:lineRule="auto"/>
        <w:ind w:firstLine="420"/>
        <w:jc w:val="left"/>
        <w:outlineLvl w:val="1"/>
        <w:rPr>
          <w:rFonts w:ascii="宋体" w:hAnsi="宋体" w:hint="eastAsia"/>
          <w:b/>
          <w:bCs/>
          <w:szCs w:val="32"/>
          <w:lang w:eastAsia="zh-Hans"/>
        </w:rPr>
      </w:pPr>
      <w:bookmarkStart w:id="19" w:name="_Toc231910711"/>
      <w:r w:rsidRPr="006162D7">
        <w:rPr>
          <w:rFonts w:ascii="宋体" w:hAnsi="宋体"/>
          <w:b/>
          <w:bCs/>
          <w:szCs w:val="32"/>
          <w:lang w:eastAsia="zh-Hans"/>
        </w:rPr>
        <w:t>（一）服务国家战略</w:t>
      </w:r>
      <w:bookmarkEnd w:id="19"/>
    </w:p>
    <w:p w14:paraId="732308C5" w14:textId="77777777" w:rsidR="006162D7" w:rsidRPr="006162D7" w:rsidRDefault="006162D7" w:rsidP="00CF1BB3">
      <w:pPr>
        <w:widowControl/>
        <w:spacing w:line="300" w:lineRule="auto"/>
        <w:ind w:firstLine="420"/>
        <w:jc w:val="left"/>
        <w:rPr>
          <w:rFonts w:ascii="宋体" w:hAnsi="宋体" w:hint="eastAsia"/>
          <w:bCs/>
          <w:szCs w:val="32"/>
          <w:lang w:eastAsia="zh-Hans"/>
        </w:rPr>
      </w:pPr>
      <w:r w:rsidRPr="006162D7">
        <w:rPr>
          <w:rFonts w:ascii="宋体" w:hAnsi="宋体"/>
          <w:bCs/>
          <w:szCs w:val="32"/>
          <w:lang w:eastAsia="zh-Hans"/>
        </w:rPr>
        <w:t>广期所的设立和发展始终与国家战略保持同频共振。绿色发展、科技创新、先进制造业和能源转型，是当前我国高质量发展的重点方向。广期所把产品布局锚定在这些领域，本质上体现的是金融服务国家战略的功能定位。与传统综合型交易所相比，广期所更强调绿色属性、创新属性和战略属性，这使其在整个期货市场体系中形成了差异化优势。</w:t>
      </w:r>
    </w:p>
    <w:p w14:paraId="22145EDC" w14:textId="77777777" w:rsidR="006162D7" w:rsidRPr="006162D7" w:rsidRDefault="006162D7" w:rsidP="00CF1BB3">
      <w:pPr>
        <w:widowControl/>
        <w:spacing w:line="300" w:lineRule="auto"/>
        <w:ind w:firstLine="420"/>
        <w:jc w:val="left"/>
        <w:rPr>
          <w:rFonts w:ascii="宋体" w:hAnsi="宋体" w:hint="eastAsia"/>
          <w:bCs/>
          <w:szCs w:val="32"/>
          <w:lang w:eastAsia="zh-Hans"/>
        </w:rPr>
      </w:pPr>
      <w:r w:rsidRPr="006162D7">
        <w:rPr>
          <w:rFonts w:ascii="宋体" w:hAnsi="宋体"/>
          <w:bCs/>
          <w:szCs w:val="32"/>
          <w:lang w:eastAsia="zh-Hans"/>
        </w:rPr>
        <w:t>从更深层看，金融服务国家战略并不意味着金融工具脱离市场规律，而是要求金融工具围绕国家重点产业和关键技术环节来设计。广期所的实践说明，期货市场完全可以成为推动国家战略落地的基础设施，而不仅仅是资本博弈的平台。</w:t>
      </w:r>
    </w:p>
    <w:p w14:paraId="0287E9FA" w14:textId="77777777" w:rsidR="006162D7" w:rsidRPr="006162D7" w:rsidRDefault="006162D7" w:rsidP="00DD5EE2">
      <w:pPr>
        <w:widowControl/>
        <w:spacing w:line="300" w:lineRule="auto"/>
        <w:ind w:firstLine="420"/>
        <w:jc w:val="left"/>
        <w:outlineLvl w:val="1"/>
        <w:rPr>
          <w:rFonts w:ascii="宋体" w:hAnsi="宋体" w:hint="eastAsia"/>
          <w:b/>
          <w:bCs/>
          <w:szCs w:val="32"/>
          <w:lang w:eastAsia="zh-Hans"/>
        </w:rPr>
      </w:pPr>
      <w:bookmarkStart w:id="20" w:name="_Toc231910712"/>
      <w:r w:rsidRPr="006162D7">
        <w:rPr>
          <w:rFonts w:ascii="宋体" w:hAnsi="宋体"/>
          <w:b/>
          <w:bCs/>
          <w:szCs w:val="32"/>
          <w:lang w:eastAsia="zh-Hans"/>
        </w:rPr>
        <w:t>（二）服务产业痛点</w:t>
      </w:r>
      <w:bookmarkEnd w:id="20"/>
    </w:p>
    <w:p w14:paraId="3327DD4F" w14:textId="77777777" w:rsidR="006162D7" w:rsidRPr="006162D7" w:rsidRDefault="006162D7" w:rsidP="00CF1BB3">
      <w:pPr>
        <w:widowControl/>
        <w:spacing w:line="300" w:lineRule="auto"/>
        <w:ind w:firstLine="420"/>
        <w:jc w:val="left"/>
        <w:rPr>
          <w:rFonts w:ascii="宋体" w:hAnsi="宋体" w:hint="eastAsia"/>
          <w:bCs/>
          <w:szCs w:val="32"/>
          <w:lang w:eastAsia="zh-Hans"/>
        </w:rPr>
      </w:pPr>
      <w:r w:rsidRPr="006162D7">
        <w:rPr>
          <w:rFonts w:ascii="宋体" w:hAnsi="宋体"/>
          <w:bCs/>
          <w:szCs w:val="32"/>
          <w:lang w:eastAsia="zh-Hans"/>
        </w:rPr>
        <w:t>产品创新的根本标准不是“有没有新”，而是“有没有用”。广期所选择的品种大多位于产业链关键环节，具有价格波动大、避险需求强、产业关注度高的特点。这种选择体现了“从企业实际需求出发”的原则，避免了脱离实体产业的空泛创新。</w:t>
      </w:r>
    </w:p>
    <w:p w14:paraId="1B61F01A" w14:textId="77777777" w:rsidR="006162D7" w:rsidRPr="006162D7" w:rsidRDefault="006162D7" w:rsidP="00CF1BB3">
      <w:pPr>
        <w:widowControl/>
        <w:spacing w:line="300" w:lineRule="auto"/>
        <w:ind w:firstLine="420"/>
        <w:jc w:val="left"/>
        <w:rPr>
          <w:rFonts w:ascii="宋体" w:hAnsi="宋体" w:hint="eastAsia"/>
          <w:bCs/>
          <w:szCs w:val="32"/>
          <w:lang w:eastAsia="zh-Hans"/>
        </w:rPr>
      </w:pPr>
      <w:r w:rsidRPr="006162D7">
        <w:rPr>
          <w:rFonts w:ascii="宋体" w:hAnsi="宋体"/>
          <w:bCs/>
          <w:szCs w:val="32"/>
          <w:lang w:eastAsia="zh-Hans"/>
        </w:rPr>
        <w:t>以碳酸锂为例，新能源电池产业链企业对原材料价格极为敏感，价格波动不仅影响企业利润，也影响产能扩张和供应链安排。若企业无法对原料价格进行锁定，往往会在采购和销售中承受双重压力。广期所推出相关期货工具后，企业便可利用期货市场进行套期保值，降低经营波动。再如工业硅，其价格波</w:t>
      </w:r>
      <w:r w:rsidRPr="006162D7">
        <w:rPr>
          <w:rFonts w:ascii="宋体" w:hAnsi="宋体"/>
          <w:bCs/>
          <w:szCs w:val="32"/>
          <w:lang w:eastAsia="zh-Hans"/>
        </w:rPr>
        <w:lastRenderedPageBreak/>
        <w:t>动会传导至光伏组件和有机硅等多个产业链环节，衍生品工具能够在这一链条中发挥稳定预期的作用。</w:t>
      </w:r>
    </w:p>
    <w:p w14:paraId="1744DC1B" w14:textId="77777777" w:rsidR="006162D7" w:rsidRPr="006162D7" w:rsidRDefault="006162D7" w:rsidP="00DD5EE2">
      <w:pPr>
        <w:widowControl/>
        <w:spacing w:line="300" w:lineRule="auto"/>
        <w:ind w:firstLine="420"/>
        <w:jc w:val="left"/>
        <w:outlineLvl w:val="1"/>
        <w:rPr>
          <w:rFonts w:ascii="宋体" w:hAnsi="宋体" w:hint="eastAsia"/>
          <w:b/>
          <w:bCs/>
          <w:szCs w:val="32"/>
          <w:lang w:eastAsia="zh-Hans"/>
        </w:rPr>
      </w:pPr>
      <w:bookmarkStart w:id="21" w:name="_Toc231910713"/>
      <w:r w:rsidRPr="006162D7">
        <w:rPr>
          <w:rFonts w:ascii="宋体" w:hAnsi="宋体"/>
          <w:b/>
          <w:bCs/>
          <w:szCs w:val="32"/>
          <w:lang w:eastAsia="zh-Hans"/>
        </w:rPr>
        <w:t>（三）服务市场建设</w:t>
      </w:r>
      <w:bookmarkEnd w:id="21"/>
    </w:p>
    <w:p w14:paraId="47BCB64C" w14:textId="77777777" w:rsidR="006162D7" w:rsidRPr="006162D7" w:rsidRDefault="006162D7" w:rsidP="00CF1BB3">
      <w:pPr>
        <w:widowControl/>
        <w:spacing w:line="300" w:lineRule="auto"/>
        <w:ind w:firstLine="420"/>
        <w:jc w:val="left"/>
        <w:rPr>
          <w:rFonts w:ascii="宋体" w:hAnsi="宋体" w:hint="eastAsia"/>
          <w:bCs/>
          <w:szCs w:val="32"/>
          <w:lang w:eastAsia="zh-Hans"/>
        </w:rPr>
      </w:pPr>
      <w:r w:rsidRPr="006162D7">
        <w:rPr>
          <w:rFonts w:ascii="宋体" w:hAnsi="宋体"/>
          <w:bCs/>
          <w:szCs w:val="32"/>
          <w:lang w:eastAsia="zh-Hans"/>
        </w:rPr>
        <w:t>新兴品种的市场建设绝非一蹴而就。一个品种从上市到形成成熟市场，通常需要经历流动性培育、交割体系建设、产业客户教育、市场认知形成等多个阶段。广期所的创新并不局限于合约本身，还体现在交易规则、保证金制度、交割安排、风控措施和市场培育方式的不断完善上。</w:t>
      </w:r>
    </w:p>
    <w:p w14:paraId="2DAA6E2F" w14:textId="77777777" w:rsidR="006162D7" w:rsidRPr="006162D7" w:rsidRDefault="006162D7" w:rsidP="00CF1BB3">
      <w:pPr>
        <w:widowControl/>
        <w:spacing w:line="300" w:lineRule="auto"/>
        <w:ind w:firstLine="420"/>
        <w:jc w:val="left"/>
        <w:rPr>
          <w:rFonts w:ascii="宋体" w:hAnsi="宋体" w:hint="eastAsia"/>
          <w:bCs/>
          <w:szCs w:val="32"/>
          <w:lang w:eastAsia="zh-Hans"/>
        </w:rPr>
      </w:pPr>
      <w:r w:rsidRPr="006162D7">
        <w:rPr>
          <w:rFonts w:ascii="宋体" w:hAnsi="宋体"/>
          <w:bCs/>
          <w:szCs w:val="32"/>
          <w:lang w:eastAsia="zh-Hans"/>
        </w:rPr>
        <w:t>市场建设的关键在于形成“可交易、可交割、可定价、可管理”的闭环。若合约设计过于复杂，企业不愿参与；若交割资源不足，价格代表性就会下降；若风控安排不到位，市场稳定性也会受损。广期所围绕这些问题持续优化制度设计，说明其创新思路更加注重长期市场培育，而不是短期交易热度。这种稳健式创新有利于交易所逐步建立市场公信力。</w:t>
      </w:r>
    </w:p>
    <w:p w14:paraId="7E51BC1D" w14:textId="77777777" w:rsidR="006162D7" w:rsidRPr="006162D7" w:rsidRDefault="006162D7" w:rsidP="00DD5EE2">
      <w:pPr>
        <w:widowControl/>
        <w:spacing w:line="300" w:lineRule="auto"/>
        <w:ind w:firstLine="420"/>
        <w:jc w:val="left"/>
        <w:outlineLvl w:val="1"/>
        <w:rPr>
          <w:rFonts w:ascii="宋体" w:hAnsi="宋体" w:hint="eastAsia"/>
          <w:b/>
          <w:bCs/>
          <w:szCs w:val="32"/>
          <w:lang w:eastAsia="zh-Hans"/>
        </w:rPr>
      </w:pPr>
      <w:bookmarkStart w:id="22" w:name="_Toc231910714"/>
      <w:r w:rsidRPr="006162D7">
        <w:rPr>
          <w:rFonts w:ascii="宋体" w:hAnsi="宋体"/>
          <w:b/>
          <w:bCs/>
          <w:szCs w:val="32"/>
          <w:lang w:eastAsia="zh-Hans"/>
        </w:rPr>
        <w:t>（四）服务开放协同</w:t>
      </w:r>
      <w:bookmarkEnd w:id="22"/>
    </w:p>
    <w:p w14:paraId="20AAA9D6" w14:textId="77777777" w:rsidR="006162D7" w:rsidRPr="006162D7" w:rsidRDefault="006162D7" w:rsidP="006162D7">
      <w:pPr>
        <w:widowControl/>
        <w:spacing w:line="300" w:lineRule="auto"/>
        <w:jc w:val="left"/>
        <w:rPr>
          <w:rFonts w:ascii="宋体" w:hAnsi="宋体" w:hint="eastAsia"/>
          <w:bCs/>
          <w:szCs w:val="32"/>
          <w:lang w:eastAsia="zh-Hans"/>
        </w:rPr>
      </w:pPr>
      <w:r w:rsidRPr="006162D7">
        <w:rPr>
          <w:rFonts w:ascii="宋体" w:hAnsi="宋体"/>
          <w:bCs/>
          <w:szCs w:val="32"/>
          <w:lang w:eastAsia="zh-Hans"/>
        </w:rPr>
        <w:t>期货市场从来都不是孤立运行的金融子系统，而是与现货产业、仓储物流、行业协会、科研机构和地方政府共同构成的生态体系。广期所的产品创新特别强调与现货市场协同，推动交易、交割、仓储、标准、结算等环节的联动。这种协同机制有助于增强市场可操作性和价格发现有效性，也有助于提高产业客户的实际参与度。</w:t>
      </w:r>
    </w:p>
    <w:p w14:paraId="4E422F9D" w14:textId="77777777" w:rsidR="006162D7" w:rsidRPr="006162D7" w:rsidRDefault="006162D7" w:rsidP="00CF1BB3">
      <w:pPr>
        <w:widowControl/>
        <w:spacing w:line="300" w:lineRule="auto"/>
        <w:ind w:firstLine="420"/>
        <w:jc w:val="left"/>
        <w:rPr>
          <w:rFonts w:ascii="宋体" w:hAnsi="宋体" w:hint="eastAsia"/>
          <w:bCs/>
          <w:szCs w:val="32"/>
          <w:lang w:eastAsia="zh-Hans"/>
        </w:rPr>
      </w:pPr>
      <w:r w:rsidRPr="006162D7">
        <w:rPr>
          <w:rFonts w:ascii="宋体" w:hAnsi="宋体"/>
          <w:bCs/>
          <w:szCs w:val="32"/>
          <w:lang w:eastAsia="zh-Hans"/>
        </w:rPr>
        <w:t>开放协同还体现在市场国际化视野上。新能源材料、贵金属和绿色低碳相关品种具有较强的国际关联性，广期所若想形成更具代表性的价格信号，就需要持续关注国际供需变化、跨境贸易格局和全球产业链分工。在此意义上，广期所的创新并不是封闭式创新，而是面向国内国际双循环的制度创新。</w:t>
      </w:r>
    </w:p>
    <w:p w14:paraId="5C296EB4" w14:textId="77777777" w:rsidR="006162D7" w:rsidRPr="00CF1BB3" w:rsidRDefault="006162D7" w:rsidP="00DD5EE2">
      <w:pPr>
        <w:widowControl/>
        <w:spacing w:line="300" w:lineRule="auto"/>
        <w:ind w:firstLine="420"/>
        <w:jc w:val="left"/>
        <w:outlineLvl w:val="0"/>
        <w:rPr>
          <w:rFonts w:ascii="宋体" w:hAnsi="宋体" w:hint="eastAsia"/>
          <w:b/>
          <w:bCs/>
          <w:sz w:val="28"/>
          <w:szCs w:val="28"/>
          <w:lang w:eastAsia="zh-Hans"/>
        </w:rPr>
      </w:pPr>
      <w:bookmarkStart w:id="23" w:name="_Toc231910715"/>
      <w:r w:rsidRPr="00CF1BB3">
        <w:rPr>
          <w:rFonts w:ascii="宋体" w:hAnsi="宋体"/>
          <w:b/>
          <w:bCs/>
          <w:sz w:val="28"/>
          <w:szCs w:val="28"/>
          <w:lang w:eastAsia="zh-Hans"/>
        </w:rPr>
        <w:t>五、广期所对相关行业高质量发展的积极作用</w:t>
      </w:r>
      <w:bookmarkEnd w:id="23"/>
    </w:p>
    <w:p w14:paraId="3C88D2F9" w14:textId="77777777" w:rsidR="006162D7" w:rsidRPr="006162D7" w:rsidRDefault="006162D7" w:rsidP="00CF1BB3">
      <w:pPr>
        <w:widowControl/>
        <w:spacing w:line="300" w:lineRule="auto"/>
        <w:ind w:firstLine="420"/>
        <w:jc w:val="left"/>
        <w:rPr>
          <w:rFonts w:ascii="宋体" w:hAnsi="宋体" w:hint="eastAsia"/>
          <w:bCs/>
          <w:szCs w:val="32"/>
          <w:lang w:eastAsia="zh-Hans"/>
        </w:rPr>
      </w:pPr>
      <w:r w:rsidRPr="006162D7">
        <w:rPr>
          <w:rFonts w:ascii="宋体" w:hAnsi="宋体"/>
          <w:bCs/>
          <w:szCs w:val="32"/>
          <w:lang w:eastAsia="zh-Hans"/>
        </w:rPr>
        <w:t>广期所的价值并不只体现在交易所自身的发展，更重要的是其对相关行业高质量发展的促进作用。这种作用不仅是金融层面的，也是产业层面的、制度层面的和治理层面的。</w:t>
      </w:r>
    </w:p>
    <w:p w14:paraId="68125D4A" w14:textId="77777777" w:rsidR="006162D7" w:rsidRPr="006162D7" w:rsidRDefault="006162D7" w:rsidP="00DD5EE2">
      <w:pPr>
        <w:widowControl/>
        <w:spacing w:line="300" w:lineRule="auto"/>
        <w:ind w:firstLine="420"/>
        <w:jc w:val="left"/>
        <w:outlineLvl w:val="1"/>
        <w:rPr>
          <w:rFonts w:ascii="宋体" w:hAnsi="宋体" w:hint="eastAsia"/>
          <w:b/>
          <w:bCs/>
          <w:szCs w:val="32"/>
          <w:lang w:eastAsia="zh-Hans"/>
        </w:rPr>
      </w:pPr>
      <w:bookmarkStart w:id="24" w:name="_Toc231910716"/>
      <w:r w:rsidRPr="006162D7">
        <w:rPr>
          <w:rFonts w:ascii="宋体" w:hAnsi="宋体"/>
          <w:b/>
          <w:bCs/>
          <w:szCs w:val="32"/>
          <w:lang w:eastAsia="zh-Hans"/>
        </w:rPr>
        <w:t>（一）帮助企业稳定经营预期</w:t>
      </w:r>
      <w:bookmarkEnd w:id="24"/>
    </w:p>
    <w:p w14:paraId="2391E0FC" w14:textId="77777777" w:rsidR="006162D7" w:rsidRPr="006162D7" w:rsidRDefault="006162D7" w:rsidP="00CF1BB3">
      <w:pPr>
        <w:widowControl/>
        <w:spacing w:line="300" w:lineRule="auto"/>
        <w:ind w:firstLine="420"/>
        <w:jc w:val="left"/>
        <w:rPr>
          <w:rFonts w:ascii="宋体" w:hAnsi="宋体" w:hint="eastAsia"/>
          <w:bCs/>
          <w:szCs w:val="32"/>
          <w:lang w:eastAsia="zh-Hans"/>
        </w:rPr>
      </w:pPr>
      <w:r w:rsidRPr="006162D7">
        <w:rPr>
          <w:rFonts w:ascii="宋体" w:hAnsi="宋体"/>
          <w:bCs/>
          <w:szCs w:val="32"/>
          <w:lang w:eastAsia="zh-Hans"/>
        </w:rPr>
        <w:t>对于新能源、新材料和绿色低碳相关企业而言，原材料价格波动是影响经营稳定性的重要变量。广期所提供的衍生品工具使企业可以通过套期保值锁定成本或收益，从而增强经营可预期性。企业一旦能够更稳定地预判未来成本，就更敢于进行技术改造、产能扩张和研发投入，也更有条件进行长期规划。</w:t>
      </w:r>
    </w:p>
    <w:p w14:paraId="2E70FC1D" w14:textId="77777777" w:rsidR="006162D7" w:rsidRPr="006162D7" w:rsidRDefault="006162D7" w:rsidP="006162D7">
      <w:pPr>
        <w:widowControl/>
        <w:spacing w:line="300" w:lineRule="auto"/>
        <w:jc w:val="left"/>
        <w:rPr>
          <w:rFonts w:ascii="宋体" w:hAnsi="宋体" w:hint="eastAsia"/>
          <w:bCs/>
          <w:szCs w:val="32"/>
          <w:lang w:eastAsia="zh-Hans"/>
        </w:rPr>
      </w:pPr>
      <w:r w:rsidRPr="006162D7">
        <w:rPr>
          <w:rFonts w:ascii="宋体" w:hAnsi="宋体"/>
          <w:bCs/>
          <w:szCs w:val="32"/>
          <w:lang w:eastAsia="zh-Hans"/>
        </w:rPr>
        <w:t>从这个角度看，期货市场并不是让企业“赌价格”，而是让企业“稳经营”。这种稳定预期的功能，对处于高速成长阶段的产业尤为关键。</w:t>
      </w:r>
    </w:p>
    <w:p w14:paraId="3F84B2D6" w14:textId="77777777" w:rsidR="006162D7" w:rsidRPr="006162D7" w:rsidRDefault="006162D7" w:rsidP="00DD5EE2">
      <w:pPr>
        <w:widowControl/>
        <w:spacing w:line="300" w:lineRule="auto"/>
        <w:ind w:firstLine="420"/>
        <w:jc w:val="left"/>
        <w:outlineLvl w:val="1"/>
        <w:rPr>
          <w:rFonts w:ascii="宋体" w:hAnsi="宋体" w:hint="eastAsia"/>
          <w:b/>
          <w:bCs/>
          <w:szCs w:val="32"/>
          <w:lang w:eastAsia="zh-Hans"/>
        </w:rPr>
      </w:pPr>
      <w:bookmarkStart w:id="25" w:name="_Toc231910717"/>
      <w:r w:rsidRPr="006162D7">
        <w:rPr>
          <w:rFonts w:ascii="宋体" w:hAnsi="宋体"/>
          <w:b/>
          <w:bCs/>
          <w:szCs w:val="32"/>
          <w:lang w:eastAsia="zh-Hans"/>
        </w:rPr>
        <w:t>（二）提升产业链定价效率</w:t>
      </w:r>
      <w:bookmarkEnd w:id="25"/>
    </w:p>
    <w:p w14:paraId="60CD8E76" w14:textId="77777777" w:rsidR="006162D7" w:rsidRPr="006162D7" w:rsidRDefault="006162D7" w:rsidP="00CF1BB3">
      <w:pPr>
        <w:widowControl/>
        <w:spacing w:line="300" w:lineRule="auto"/>
        <w:ind w:firstLine="420"/>
        <w:jc w:val="left"/>
        <w:rPr>
          <w:rFonts w:ascii="宋体" w:hAnsi="宋体" w:hint="eastAsia"/>
          <w:bCs/>
          <w:szCs w:val="32"/>
          <w:lang w:eastAsia="zh-Hans"/>
        </w:rPr>
      </w:pPr>
      <w:r w:rsidRPr="006162D7">
        <w:rPr>
          <w:rFonts w:ascii="宋体" w:hAnsi="宋体"/>
          <w:bCs/>
          <w:szCs w:val="32"/>
          <w:lang w:eastAsia="zh-Hans"/>
        </w:rPr>
        <w:lastRenderedPageBreak/>
        <w:t>公开透明的期货价格可以作为现货交易的重要参考，提升上下游企业的定价效率。传统现货市场中，由于信息分散、交易频次低、区域差异大，企业之间往往存在较强的信息不对称，导致议价成本高、合同执行不稳定。而期货价格的出现，则为现货市场提供了一个公开、连续、可验证的价格基准。</w:t>
      </w:r>
    </w:p>
    <w:p w14:paraId="48DF3316" w14:textId="77777777" w:rsidR="006162D7" w:rsidRPr="006162D7" w:rsidRDefault="006162D7" w:rsidP="00CF1BB3">
      <w:pPr>
        <w:widowControl/>
        <w:spacing w:line="300" w:lineRule="auto"/>
        <w:ind w:firstLine="420"/>
        <w:jc w:val="left"/>
        <w:rPr>
          <w:rFonts w:ascii="宋体" w:hAnsi="宋体" w:hint="eastAsia"/>
          <w:bCs/>
          <w:szCs w:val="32"/>
          <w:lang w:eastAsia="zh-Hans"/>
        </w:rPr>
      </w:pPr>
      <w:r w:rsidRPr="006162D7">
        <w:rPr>
          <w:rFonts w:ascii="宋体" w:hAnsi="宋体"/>
          <w:bCs/>
          <w:szCs w:val="32"/>
          <w:lang w:eastAsia="zh-Hans"/>
        </w:rPr>
        <w:t>对于上下游企业来说，这意味着更高效的采购谈判、更稳定的销售合同和更合理的库存安排。对于产业链整体而言，这意味着减少无效摩擦、提升资源配置效率和改善市场运行秩序。</w:t>
      </w:r>
    </w:p>
    <w:p w14:paraId="35B7B440" w14:textId="77777777" w:rsidR="006162D7" w:rsidRPr="006162D7" w:rsidRDefault="006162D7" w:rsidP="00DD5EE2">
      <w:pPr>
        <w:widowControl/>
        <w:spacing w:line="300" w:lineRule="auto"/>
        <w:ind w:firstLine="420"/>
        <w:jc w:val="left"/>
        <w:outlineLvl w:val="1"/>
        <w:rPr>
          <w:rFonts w:ascii="宋体" w:hAnsi="宋体" w:hint="eastAsia"/>
          <w:b/>
          <w:bCs/>
          <w:szCs w:val="32"/>
          <w:lang w:eastAsia="zh-Hans"/>
        </w:rPr>
      </w:pPr>
      <w:bookmarkStart w:id="26" w:name="_Toc231910718"/>
      <w:r w:rsidRPr="006162D7">
        <w:rPr>
          <w:rFonts w:ascii="宋体" w:hAnsi="宋体"/>
          <w:b/>
          <w:bCs/>
          <w:szCs w:val="32"/>
          <w:lang w:eastAsia="zh-Hans"/>
        </w:rPr>
        <w:t>（三）促进绿色转型与低碳发展</w:t>
      </w:r>
      <w:bookmarkEnd w:id="26"/>
    </w:p>
    <w:p w14:paraId="638ACC3F" w14:textId="77777777" w:rsidR="006162D7" w:rsidRPr="006162D7" w:rsidRDefault="006162D7" w:rsidP="00CF1BB3">
      <w:pPr>
        <w:widowControl/>
        <w:spacing w:line="300" w:lineRule="auto"/>
        <w:ind w:firstLine="420"/>
        <w:jc w:val="left"/>
        <w:rPr>
          <w:rFonts w:ascii="宋体" w:hAnsi="宋体" w:hint="eastAsia"/>
          <w:bCs/>
          <w:szCs w:val="32"/>
          <w:lang w:eastAsia="zh-Hans"/>
        </w:rPr>
      </w:pPr>
      <w:r w:rsidRPr="006162D7">
        <w:rPr>
          <w:rFonts w:ascii="宋体" w:hAnsi="宋体"/>
          <w:bCs/>
          <w:szCs w:val="32"/>
          <w:lang w:eastAsia="zh-Hans"/>
        </w:rPr>
        <w:t>广期所重点布局绿色低碳相关品种，本身就具有引导资源向绿色领域集中的功能。通过衍生品工具，绿色产业可以获得更清晰的价格锚和更可控的风险环境，从而吸引更多资本、技术和人才进入相关领域。尤其是在碳减排和能源替代过程中，市场化工具能够帮助企业把绿色转型从“成本压力”转化为“管理能力”的提升。</w:t>
      </w:r>
    </w:p>
    <w:p w14:paraId="5ECA7449" w14:textId="77777777" w:rsidR="006162D7" w:rsidRPr="006162D7" w:rsidRDefault="006162D7" w:rsidP="00CF1BB3">
      <w:pPr>
        <w:widowControl/>
        <w:spacing w:line="300" w:lineRule="auto"/>
        <w:ind w:firstLine="420"/>
        <w:jc w:val="left"/>
        <w:rPr>
          <w:rFonts w:ascii="宋体" w:hAnsi="宋体" w:hint="eastAsia"/>
          <w:bCs/>
          <w:szCs w:val="32"/>
          <w:lang w:eastAsia="zh-Hans"/>
        </w:rPr>
      </w:pPr>
      <w:r w:rsidRPr="006162D7">
        <w:rPr>
          <w:rFonts w:ascii="宋体" w:hAnsi="宋体"/>
          <w:bCs/>
          <w:szCs w:val="32"/>
          <w:lang w:eastAsia="zh-Hans"/>
        </w:rPr>
        <w:t>从更长远看，期货市场可以通过价格信号引导企业优化生产方式、提升能源效率、减少资源浪费，从而推动整个行业向低碳化、集约化和高附加值方向升级。</w:t>
      </w:r>
    </w:p>
    <w:p w14:paraId="17DC07D6" w14:textId="77777777" w:rsidR="006162D7" w:rsidRPr="006162D7" w:rsidRDefault="006162D7" w:rsidP="00DD5EE2">
      <w:pPr>
        <w:widowControl/>
        <w:spacing w:line="300" w:lineRule="auto"/>
        <w:ind w:firstLine="420"/>
        <w:jc w:val="left"/>
        <w:outlineLvl w:val="1"/>
        <w:rPr>
          <w:rFonts w:ascii="宋体" w:hAnsi="宋体" w:hint="eastAsia"/>
          <w:b/>
          <w:bCs/>
          <w:szCs w:val="32"/>
          <w:lang w:eastAsia="zh-Hans"/>
        </w:rPr>
      </w:pPr>
      <w:bookmarkStart w:id="27" w:name="_Toc231910719"/>
      <w:r w:rsidRPr="006162D7">
        <w:rPr>
          <w:rFonts w:ascii="宋体" w:hAnsi="宋体"/>
          <w:b/>
          <w:bCs/>
          <w:szCs w:val="32"/>
          <w:lang w:eastAsia="zh-Hans"/>
        </w:rPr>
        <w:t>（四）推动行业标准化与规范化</w:t>
      </w:r>
      <w:bookmarkEnd w:id="27"/>
    </w:p>
    <w:p w14:paraId="6F25651F" w14:textId="77777777" w:rsidR="006162D7" w:rsidRPr="006162D7" w:rsidRDefault="006162D7" w:rsidP="00CF1BB3">
      <w:pPr>
        <w:widowControl/>
        <w:spacing w:line="300" w:lineRule="auto"/>
        <w:ind w:firstLine="420"/>
        <w:jc w:val="left"/>
        <w:rPr>
          <w:rFonts w:ascii="宋体" w:hAnsi="宋体" w:hint="eastAsia"/>
          <w:bCs/>
          <w:szCs w:val="32"/>
          <w:lang w:eastAsia="zh-Hans"/>
        </w:rPr>
      </w:pPr>
      <w:r w:rsidRPr="006162D7">
        <w:rPr>
          <w:rFonts w:ascii="宋体" w:hAnsi="宋体"/>
          <w:bCs/>
          <w:szCs w:val="32"/>
          <w:lang w:eastAsia="zh-Hans"/>
        </w:rPr>
        <w:t>期货市场对交割品标准、仓储标准、品质标准和信息披露要求较高。企业若要参与期货市场，通常需要提升自身管理水平，在质量控制、供应链协同和库存管理方面更加规范。这种要求虽然在短期内增加了企业的管理成本，但从长期看有助于提高整个行业的标准化程度和治理水平。</w:t>
      </w:r>
    </w:p>
    <w:p w14:paraId="08A541F0" w14:textId="77777777" w:rsidR="006162D7" w:rsidRPr="006162D7" w:rsidRDefault="006162D7" w:rsidP="00CF1BB3">
      <w:pPr>
        <w:widowControl/>
        <w:spacing w:line="300" w:lineRule="auto"/>
        <w:ind w:firstLine="420"/>
        <w:jc w:val="left"/>
        <w:rPr>
          <w:rFonts w:ascii="宋体" w:hAnsi="宋体" w:hint="eastAsia"/>
          <w:bCs/>
          <w:szCs w:val="32"/>
          <w:lang w:eastAsia="zh-Hans"/>
        </w:rPr>
      </w:pPr>
      <w:r w:rsidRPr="006162D7">
        <w:rPr>
          <w:rFonts w:ascii="宋体" w:hAnsi="宋体"/>
          <w:bCs/>
          <w:szCs w:val="32"/>
          <w:lang w:eastAsia="zh-Hans"/>
        </w:rPr>
        <w:t>尤其是在新能源材料和贵金属相关产业中，产品质量、交割标准和仓储管理一旦规范化，产业链交易效率就会明显提高，市场秩序也会更加健康。</w:t>
      </w:r>
    </w:p>
    <w:p w14:paraId="46DF486A" w14:textId="77777777" w:rsidR="006162D7" w:rsidRPr="006162D7" w:rsidRDefault="006162D7" w:rsidP="00DD5EE2">
      <w:pPr>
        <w:widowControl/>
        <w:spacing w:line="300" w:lineRule="auto"/>
        <w:ind w:firstLine="420"/>
        <w:jc w:val="left"/>
        <w:outlineLvl w:val="1"/>
        <w:rPr>
          <w:rFonts w:ascii="宋体" w:hAnsi="宋体" w:hint="eastAsia"/>
          <w:b/>
          <w:bCs/>
          <w:szCs w:val="32"/>
          <w:lang w:eastAsia="zh-Hans"/>
        </w:rPr>
      </w:pPr>
      <w:bookmarkStart w:id="28" w:name="_Toc231910720"/>
      <w:r w:rsidRPr="006162D7">
        <w:rPr>
          <w:rFonts w:ascii="宋体" w:hAnsi="宋体"/>
          <w:b/>
          <w:bCs/>
          <w:szCs w:val="32"/>
          <w:lang w:eastAsia="zh-Hans"/>
        </w:rPr>
        <w:t>（五）增强产业链韧性和安全水平</w:t>
      </w:r>
      <w:bookmarkEnd w:id="28"/>
    </w:p>
    <w:p w14:paraId="7EE9D522" w14:textId="77777777" w:rsidR="006162D7" w:rsidRPr="006162D7" w:rsidRDefault="006162D7" w:rsidP="00CF1BB3">
      <w:pPr>
        <w:widowControl/>
        <w:spacing w:line="300" w:lineRule="auto"/>
        <w:ind w:firstLine="420"/>
        <w:jc w:val="left"/>
        <w:rPr>
          <w:rFonts w:ascii="宋体" w:hAnsi="宋体" w:hint="eastAsia"/>
          <w:bCs/>
          <w:szCs w:val="32"/>
          <w:lang w:eastAsia="zh-Hans"/>
        </w:rPr>
      </w:pPr>
      <w:r w:rsidRPr="006162D7">
        <w:rPr>
          <w:rFonts w:ascii="宋体" w:hAnsi="宋体"/>
          <w:bCs/>
          <w:szCs w:val="32"/>
          <w:lang w:eastAsia="zh-Hans"/>
        </w:rPr>
        <w:t>当前国际环境复杂多变，大宗商品价格波动和供应链不确定性明显上升。对于我国新能源和新材料产业来说，提升产业链韧性和安全水平已成为高质量发展的重要内容。广期所通过提供风险管理工具，能够帮助企业减少外部冲击带来的经营损失，增强抗风险能力。</w:t>
      </w:r>
    </w:p>
    <w:p w14:paraId="6BA27641" w14:textId="77777777" w:rsidR="006162D7" w:rsidRPr="006162D7" w:rsidRDefault="006162D7" w:rsidP="00CF1BB3">
      <w:pPr>
        <w:widowControl/>
        <w:spacing w:line="300" w:lineRule="auto"/>
        <w:ind w:firstLine="420"/>
        <w:jc w:val="left"/>
        <w:rPr>
          <w:rFonts w:ascii="宋体" w:hAnsi="宋体" w:hint="eastAsia"/>
          <w:bCs/>
          <w:szCs w:val="32"/>
          <w:lang w:eastAsia="zh-Hans"/>
        </w:rPr>
      </w:pPr>
      <w:r w:rsidRPr="006162D7">
        <w:rPr>
          <w:rFonts w:ascii="宋体" w:hAnsi="宋体"/>
          <w:bCs/>
          <w:szCs w:val="32"/>
          <w:lang w:eastAsia="zh-Hans"/>
        </w:rPr>
        <w:t>当企业能够更有效地管理原材料和产成品价格波动时，整个产业链就会更稳健，企业也更有能力在技术创新、品牌建设和全球竞争中保持主动。这种韧性提升不仅体现在单个企业层面，也体现在整个行业和区域经济层面。</w:t>
      </w:r>
    </w:p>
    <w:p w14:paraId="529F9406" w14:textId="77777777" w:rsidR="006162D7" w:rsidRPr="00CF1BB3" w:rsidRDefault="006162D7" w:rsidP="00DD5EE2">
      <w:pPr>
        <w:widowControl/>
        <w:spacing w:line="300" w:lineRule="auto"/>
        <w:ind w:firstLine="420"/>
        <w:jc w:val="left"/>
        <w:outlineLvl w:val="0"/>
        <w:rPr>
          <w:rFonts w:ascii="宋体" w:hAnsi="宋体" w:hint="eastAsia"/>
          <w:b/>
          <w:bCs/>
          <w:sz w:val="28"/>
          <w:szCs w:val="28"/>
          <w:lang w:eastAsia="zh-Hans"/>
        </w:rPr>
      </w:pPr>
      <w:bookmarkStart w:id="29" w:name="_Toc231910721"/>
      <w:r w:rsidRPr="00CF1BB3">
        <w:rPr>
          <w:rFonts w:ascii="宋体" w:hAnsi="宋体"/>
          <w:b/>
          <w:bCs/>
          <w:sz w:val="28"/>
          <w:szCs w:val="28"/>
          <w:lang w:eastAsia="zh-Hans"/>
        </w:rPr>
        <w:t>六、数据与事实支撑</w:t>
      </w:r>
      <w:bookmarkEnd w:id="29"/>
    </w:p>
    <w:p w14:paraId="4EFE801F" w14:textId="77777777" w:rsidR="006162D7" w:rsidRPr="006162D7" w:rsidRDefault="006162D7" w:rsidP="00CF1BB3">
      <w:pPr>
        <w:widowControl/>
        <w:spacing w:line="300" w:lineRule="auto"/>
        <w:ind w:firstLine="420"/>
        <w:jc w:val="left"/>
        <w:rPr>
          <w:rFonts w:ascii="宋体" w:hAnsi="宋体" w:hint="eastAsia"/>
          <w:bCs/>
          <w:szCs w:val="32"/>
          <w:lang w:eastAsia="zh-Hans"/>
        </w:rPr>
      </w:pPr>
      <w:r w:rsidRPr="006162D7">
        <w:rPr>
          <w:rFonts w:ascii="宋体" w:hAnsi="宋体"/>
          <w:bCs/>
          <w:szCs w:val="32"/>
          <w:lang w:eastAsia="zh-Hans"/>
        </w:rPr>
        <w:t>从公开资料和行业发展趋势看，碳酸锂、工业硅等品种上市后持续吸引产业客户和机构投资者参与，成交、持仓和交割制度不断完善，说明市场对绿色新材料风险管理工具具有真实需求。与此同时，新能源和新材料行业本身对价</w:t>
      </w:r>
      <w:r w:rsidRPr="006162D7">
        <w:rPr>
          <w:rFonts w:ascii="宋体" w:hAnsi="宋体"/>
          <w:bCs/>
          <w:szCs w:val="32"/>
          <w:lang w:eastAsia="zh-Hans"/>
        </w:rPr>
        <w:lastRenderedPageBreak/>
        <w:t>格波动较为敏感，价格变化会迅速传导到中游制造和下游应用环节，影响企业利润率和投资节奏。以动力电池产业为例，原材料成本变化直接关系到电池企业毛利率；以光伏产业为例，工业硅等上游材料价格上涨会影响组件企业报价和库存策略。上述事实都说明，广期所产品并非“概念型创新”，而是与产业现实需求高度匹配的制度供给。</w:t>
      </w:r>
    </w:p>
    <w:p w14:paraId="14860C37" w14:textId="77777777" w:rsidR="006162D7" w:rsidRPr="006162D7" w:rsidRDefault="006162D7" w:rsidP="00CF1BB3">
      <w:pPr>
        <w:widowControl/>
        <w:spacing w:line="300" w:lineRule="auto"/>
        <w:ind w:firstLine="420"/>
        <w:jc w:val="left"/>
        <w:rPr>
          <w:rFonts w:ascii="宋体" w:hAnsi="宋体" w:hint="eastAsia"/>
          <w:bCs/>
          <w:szCs w:val="32"/>
          <w:lang w:eastAsia="zh-Hans"/>
        </w:rPr>
      </w:pPr>
      <w:r w:rsidRPr="006162D7">
        <w:rPr>
          <w:rFonts w:ascii="宋体" w:hAnsi="宋体"/>
          <w:bCs/>
          <w:szCs w:val="32"/>
          <w:lang w:eastAsia="zh-Hans"/>
        </w:rPr>
        <w:t>从行业发展趋势看，我国新能源、新材料和绿色低碳产业仍处于技术升级和规模扩张并行的阶段，企业对价格发现和风险管理工具的需求只会越来越强。随着更多产业客户参与和更多交割资源完善，广期所品种的市场功能有望进一步释放。正式论文写作中，可以进一步结合广州期货交易所年报、中国期货业协会统计公报、国家统计局和行业协会公开数据，补充成交量、持仓量、产业参与率或相关价格波动数据，以增强论证的精确性和说服力。</w:t>
      </w:r>
    </w:p>
    <w:p w14:paraId="758F637B" w14:textId="77777777" w:rsidR="006162D7" w:rsidRPr="00CF1BB3" w:rsidRDefault="006162D7" w:rsidP="00DD5EE2">
      <w:pPr>
        <w:widowControl/>
        <w:spacing w:line="300" w:lineRule="auto"/>
        <w:ind w:firstLine="420"/>
        <w:jc w:val="left"/>
        <w:outlineLvl w:val="0"/>
        <w:rPr>
          <w:rFonts w:ascii="宋体" w:hAnsi="宋体" w:hint="eastAsia"/>
          <w:b/>
          <w:bCs/>
          <w:sz w:val="28"/>
          <w:szCs w:val="28"/>
          <w:lang w:eastAsia="zh-Hans"/>
        </w:rPr>
      </w:pPr>
      <w:bookmarkStart w:id="30" w:name="_Toc231910722"/>
      <w:r w:rsidRPr="00CF1BB3">
        <w:rPr>
          <w:rFonts w:ascii="宋体" w:hAnsi="宋体"/>
          <w:b/>
          <w:bCs/>
          <w:sz w:val="28"/>
          <w:szCs w:val="28"/>
          <w:lang w:eastAsia="zh-Hans"/>
        </w:rPr>
        <w:t>七、存在的问题与未来展望</w:t>
      </w:r>
      <w:bookmarkEnd w:id="30"/>
    </w:p>
    <w:p w14:paraId="18E86D28" w14:textId="77777777" w:rsidR="006162D7" w:rsidRPr="006162D7" w:rsidRDefault="006162D7" w:rsidP="00CF1BB3">
      <w:pPr>
        <w:widowControl/>
        <w:spacing w:line="300" w:lineRule="auto"/>
        <w:ind w:firstLine="420"/>
        <w:jc w:val="left"/>
        <w:rPr>
          <w:rFonts w:ascii="宋体" w:hAnsi="宋体" w:hint="eastAsia"/>
          <w:bCs/>
          <w:szCs w:val="32"/>
          <w:lang w:eastAsia="zh-Hans"/>
        </w:rPr>
      </w:pPr>
      <w:r w:rsidRPr="006162D7">
        <w:rPr>
          <w:rFonts w:ascii="宋体" w:hAnsi="宋体"/>
          <w:bCs/>
          <w:szCs w:val="32"/>
          <w:lang w:eastAsia="zh-Hans"/>
        </w:rPr>
        <w:t>尽管广期所在产品布局上已经取得积极成效，但作为新设交易所，其市场培育仍面临一些现实挑战。</w:t>
      </w:r>
    </w:p>
    <w:p w14:paraId="27B05A98" w14:textId="77777777" w:rsidR="006162D7" w:rsidRPr="006162D7" w:rsidRDefault="006162D7" w:rsidP="00CF1BB3">
      <w:pPr>
        <w:widowControl/>
        <w:spacing w:line="300" w:lineRule="auto"/>
        <w:ind w:firstLine="420"/>
        <w:jc w:val="left"/>
        <w:rPr>
          <w:rFonts w:ascii="宋体" w:hAnsi="宋体" w:hint="eastAsia"/>
          <w:bCs/>
          <w:szCs w:val="32"/>
          <w:lang w:eastAsia="zh-Hans"/>
        </w:rPr>
      </w:pPr>
      <w:r w:rsidRPr="006162D7">
        <w:rPr>
          <w:rFonts w:ascii="宋体" w:hAnsi="宋体"/>
          <w:bCs/>
          <w:szCs w:val="32"/>
          <w:lang w:eastAsia="zh-Hans"/>
        </w:rPr>
        <w:t>第一，部分新兴品种流动性仍有待提升。期货市场的价格发现和风险管理功能高度依赖充分交易，如果市场参与主体不够广泛、交易活跃度不足，价格代表性就会受到影响。第二，产业客户参与深度仍需增强。要使期货工具真正服务实体经济，必须提高现货企业、贸易商和生产企业的参与比例，使套期保值成为企业经营管理的一部分，而不是少数机构的交易工具。第三，交割资源组织与仓储体系仍需进一步优化。只有交割顺畅、质量标准统一，期货价格与现货价格之间的联动才更稳定。第四，投资者教育和市场认知还有提升空间。部分实体企业对期货工具的理解仍不够深入，对保证金、基差、展期、交割等概念缺乏系统认识，影响了其使用效率。</w:t>
      </w:r>
    </w:p>
    <w:p w14:paraId="33904280" w14:textId="77777777" w:rsidR="006162D7" w:rsidRPr="006162D7" w:rsidRDefault="006162D7" w:rsidP="00CF1BB3">
      <w:pPr>
        <w:widowControl/>
        <w:spacing w:line="300" w:lineRule="auto"/>
        <w:ind w:firstLine="420"/>
        <w:jc w:val="left"/>
        <w:rPr>
          <w:rFonts w:ascii="宋体" w:hAnsi="宋体" w:hint="eastAsia"/>
          <w:bCs/>
          <w:szCs w:val="32"/>
          <w:lang w:eastAsia="zh-Hans"/>
        </w:rPr>
      </w:pPr>
      <w:r w:rsidRPr="006162D7">
        <w:rPr>
          <w:rFonts w:ascii="宋体" w:hAnsi="宋体"/>
          <w:bCs/>
          <w:szCs w:val="32"/>
          <w:lang w:eastAsia="zh-Hans"/>
        </w:rPr>
        <w:t>未来，广期所应继续坚持服务国家战略和服务实体经济的方向，围绕绿色低碳、新能源、新材料等重点领域稳步推进品种创新；同时，应加强与产业协会、龙头企业、科研机构和地方政府的合作，推动更多现货企业参与期货市场，完善市场流动性和交割体系，提升价格的代表性和公信力。此外，还应进一步推动市场教育和风险管理培训，使更多企业真正理解并运用期货工具，将金融工具转化为企业高质量发展的助推器。</w:t>
      </w:r>
    </w:p>
    <w:p w14:paraId="4053F4B4" w14:textId="77777777" w:rsidR="006162D7" w:rsidRPr="00CF1BB3" w:rsidRDefault="006162D7" w:rsidP="006162D7">
      <w:pPr>
        <w:widowControl/>
        <w:spacing w:line="300" w:lineRule="auto"/>
        <w:jc w:val="left"/>
        <w:rPr>
          <w:rFonts w:ascii="宋体" w:hAnsi="宋体" w:hint="eastAsia"/>
          <w:b/>
          <w:bCs/>
          <w:sz w:val="28"/>
          <w:szCs w:val="28"/>
          <w:lang w:eastAsia="zh-Hans"/>
        </w:rPr>
      </w:pPr>
      <w:r w:rsidRPr="00CF1BB3">
        <w:rPr>
          <w:rFonts w:ascii="宋体" w:hAnsi="宋体"/>
          <w:b/>
          <w:bCs/>
          <w:sz w:val="28"/>
          <w:szCs w:val="28"/>
          <w:lang w:eastAsia="zh-Hans"/>
        </w:rPr>
        <w:t>八、结论</w:t>
      </w:r>
    </w:p>
    <w:p w14:paraId="6FDF6CD0" w14:textId="77777777" w:rsidR="006162D7" w:rsidRPr="006162D7" w:rsidRDefault="006162D7" w:rsidP="00CF1BB3">
      <w:pPr>
        <w:widowControl/>
        <w:spacing w:line="300" w:lineRule="auto"/>
        <w:ind w:firstLine="420"/>
        <w:jc w:val="left"/>
        <w:rPr>
          <w:rFonts w:ascii="宋体" w:hAnsi="宋体" w:hint="eastAsia"/>
          <w:bCs/>
          <w:szCs w:val="32"/>
          <w:lang w:eastAsia="zh-Hans"/>
        </w:rPr>
      </w:pPr>
      <w:r w:rsidRPr="006162D7">
        <w:rPr>
          <w:rFonts w:ascii="宋体" w:hAnsi="宋体"/>
          <w:bCs/>
          <w:szCs w:val="32"/>
          <w:lang w:eastAsia="zh-Hans"/>
        </w:rPr>
        <w:t>总体而言，广州期货交易所的产品布局和创新逻辑具有鲜明的时代特征和现实意义。其围绕绿色低碳、新能源和新材料等重点领域推进产品创新，不仅体现了期货市场风险管理和价格发现功能的有效发挥，也展现了金融服务国家战略和实体经济的制度价值。广期所通过构建与产业需求高度契合的衍生品工</w:t>
      </w:r>
      <w:r w:rsidRPr="006162D7">
        <w:rPr>
          <w:rFonts w:ascii="宋体" w:hAnsi="宋体"/>
          <w:bCs/>
          <w:szCs w:val="32"/>
          <w:lang w:eastAsia="zh-Hans"/>
        </w:rPr>
        <w:lastRenderedPageBreak/>
        <w:t>具体系，为相关行业提供了稳定预期、价格参考和风险对冲手段，进而促进企业提质增效、产业链协同和绿色转型升级。</w:t>
      </w:r>
    </w:p>
    <w:p w14:paraId="695E5614" w14:textId="77777777" w:rsidR="006162D7" w:rsidRPr="006162D7" w:rsidRDefault="006162D7" w:rsidP="00CF1BB3">
      <w:pPr>
        <w:widowControl/>
        <w:spacing w:line="300" w:lineRule="auto"/>
        <w:ind w:firstLine="420"/>
        <w:jc w:val="left"/>
        <w:rPr>
          <w:rFonts w:ascii="宋体" w:hAnsi="宋体" w:hint="eastAsia"/>
          <w:bCs/>
          <w:szCs w:val="32"/>
          <w:lang w:eastAsia="zh-Hans"/>
        </w:rPr>
      </w:pPr>
      <w:r w:rsidRPr="006162D7">
        <w:rPr>
          <w:rFonts w:ascii="宋体" w:hAnsi="宋体"/>
          <w:bCs/>
          <w:szCs w:val="32"/>
          <w:lang w:eastAsia="zh-Hans"/>
        </w:rPr>
        <w:t>从更宏观的视角看，广州期货交易所的发展是我国期货市场体系优化、金融基础设施完善和服务高质量发展能力提升的重要缩影。未来，随着更多品种落地、市场机制不断健全、产业参与度持续提升，广期所将在服务“双碳”目标、推动产业升级和增强产业链韧性方面发挥更加积极和深远的作用。可以预见，广期所不仅会成为我国绿色低碳产业风险管理的重要平台，也将成为观察我国现代金融体系服务实体经济成效的重要窗口。</w:t>
      </w:r>
    </w:p>
    <w:p w14:paraId="63193A78" w14:textId="77777777" w:rsidR="006162D7" w:rsidRPr="00CF1BB3" w:rsidRDefault="006162D7" w:rsidP="006162D7">
      <w:pPr>
        <w:widowControl/>
        <w:spacing w:line="300" w:lineRule="auto"/>
        <w:jc w:val="left"/>
        <w:rPr>
          <w:rFonts w:ascii="宋体" w:hAnsi="宋体" w:hint="eastAsia"/>
          <w:b/>
          <w:bCs/>
          <w:sz w:val="28"/>
          <w:szCs w:val="28"/>
          <w:lang w:eastAsia="zh-Hans"/>
        </w:rPr>
      </w:pPr>
      <w:r w:rsidRPr="00CF1BB3">
        <w:rPr>
          <w:rFonts w:ascii="宋体" w:hAnsi="宋体"/>
          <w:b/>
          <w:bCs/>
          <w:sz w:val="28"/>
          <w:szCs w:val="28"/>
          <w:lang w:eastAsia="zh-Hans"/>
        </w:rPr>
        <w:t>参考文献</w:t>
      </w:r>
    </w:p>
    <w:p w14:paraId="59E4FB70" w14:textId="77777777" w:rsidR="006162D7" w:rsidRPr="006162D7" w:rsidRDefault="006162D7" w:rsidP="006162D7">
      <w:pPr>
        <w:widowControl/>
        <w:spacing w:line="300" w:lineRule="auto"/>
        <w:jc w:val="left"/>
        <w:rPr>
          <w:rFonts w:ascii="宋体" w:hAnsi="宋体" w:hint="eastAsia"/>
          <w:bCs/>
          <w:szCs w:val="32"/>
          <w:lang w:eastAsia="zh-Hans"/>
        </w:rPr>
      </w:pPr>
      <w:r w:rsidRPr="006162D7">
        <w:rPr>
          <w:rFonts w:ascii="宋体" w:hAnsi="宋体"/>
          <w:bCs/>
          <w:szCs w:val="32"/>
          <w:lang w:eastAsia="zh-Hans"/>
        </w:rPr>
        <w:t>[1] 广州期货交易所. 广州期货交易所官方网站及相关业务规则文件[EB/OL].</w:t>
      </w:r>
      <w:r w:rsidRPr="006162D7">
        <w:rPr>
          <w:rFonts w:ascii="宋体" w:hAnsi="宋体"/>
          <w:bCs/>
          <w:szCs w:val="32"/>
          <w:lang w:eastAsia="zh-Hans"/>
        </w:rPr>
        <w:br/>
        <w:t>[2] 中国期货业协会. 中国期货市场运行统计资料及年度报告[EB/OL].</w:t>
      </w:r>
      <w:r w:rsidRPr="006162D7">
        <w:rPr>
          <w:rFonts w:ascii="宋体" w:hAnsi="宋体"/>
          <w:bCs/>
          <w:szCs w:val="32"/>
          <w:lang w:eastAsia="zh-Hans"/>
        </w:rPr>
        <w:br/>
        <w:t>[3] 中国证券监督管理委员会. 期货和衍生品市场相关政策与制度文件[EB/OL].</w:t>
      </w:r>
      <w:r w:rsidRPr="006162D7">
        <w:rPr>
          <w:rFonts w:ascii="宋体" w:hAnsi="宋体"/>
          <w:bCs/>
          <w:szCs w:val="32"/>
          <w:lang w:eastAsia="zh-Hans"/>
        </w:rPr>
        <w:br/>
        <w:t>[4] 国家统计局. 国民经济和社会发展统计公报[EB/OL].</w:t>
      </w:r>
      <w:r w:rsidRPr="006162D7">
        <w:rPr>
          <w:rFonts w:ascii="宋体" w:hAnsi="宋体"/>
          <w:bCs/>
          <w:szCs w:val="32"/>
          <w:lang w:eastAsia="zh-Hans"/>
        </w:rPr>
        <w:br/>
        <w:t>[5] 工业和信息化部. 新能源、新材料及先进制造相关政策文件[EB/OL].</w:t>
      </w:r>
      <w:r w:rsidRPr="006162D7">
        <w:rPr>
          <w:rFonts w:ascii="宋体" w:hAnsi="宋体"/>
          <w:bCs/>
          <w:szCs w:val="32"/>
          <w:lang w:eastAsia="zh-Hans"/>
        </w:rPr>
        <w:br/>
        <w:t>[6] 生态环境部. 碳达峰碳中和相关政策与统计资料[EB/OL].</w:t>
      </w:r>
      <w:r w:rsidRPr="006162D7">
        <w:rPr>
          <w:rFonts w:ascii="宋体" w:hAnsi="宋体"/>
          <w:bCs/>
          <w:szCs w:val="32"/>
          <w:lang w:eastAsia="zh-Hans"/>
        </w:rPr>
        <w:br/>
        <w:t>[7] 广州期货交易所. 广州期货交易所年度报告及品种运行情况说明[EB/OL].</w:t>
      </w:r>
      <w:r w:rsidRPr="006162D7">
        <w:rPr>
          <w:rFonts w:ascii="宋体" w:hAnsi="宋体"/>
          <w:bCs/>
          <w:szCs w:val="32"/>
          <w:lang w:eastAsia="zh-Hans"/>
        </w:rPr>
        <w:br/>
        <w:t>[8] 中国期货业协会. 中国期货市场运行统计资料及年度报告[EB/OL].</w:t>
      </w:r>
      <w:r w:rsidRPr="006162D7">
        <w:rPr>
          <w:rFonts w:ascii="宋体" w:hAnsi="宋体"/>
          <w:bCs/>
          <w:szCs w:val="32"/>
          <w:lang w:eastAsia="zh-Hans"/>
        </w:rPr>
        <w:br/>
        <w:t>[9] 中国证券监督管理委员会. 期货和衍生品市场相关政策与制度文件[EB/OL].</w:t>
      </w:r>
      <w:r w:rsidRPr="006162D7">
        <w:rPr>
          <w:rFonts w:ascii="宋体" w:hAnsi="宋体"/>
          <w:bCs/>
          <w:szCs w:val="32"/>
          <w:lang w:eastAsia="zh-Hans"/>
        </w:rPr>
        <w:br/>
        <w:t>[10] 广州期货交易所. 年度报告与品种运行情况说明[EB/OL].</w:t>
      </w:r>
    </w:p>
    <w:p w14:paraId="58A0599C" w14:textId="77777777" w:rsidR="00D272D6" w:rsidRPr="006162D7" w:rsidRDefault="00D272D6">
      <w:pPr>
        <w:widowControl/>
        <w:spacing w:line="300" w:lineRule="auto"/>
        <w:jc w:val="left"/>
        <w:rPr>
          <w:rFonts w:ascii="宋体" w:hAnsi="宋体" w:hint="eastAsia"/>
          <w:bCs/>
          <w:szCs w:val="32"/>
          <w:lang w:eastAsia="zh-Hans"/>
        </w:rPr>
        <w:sectPr w:rsidR="00D272D6" w:rsidRPr="006162D7">
          <w:footerReference w:type="default" r:id="rId16"/>
          <w:pgSz w:w="11906" w:h="16838"/>
          <w:pgMar w:top="1440" w:right="1800" w:bottom="1440" w:left="1800" w:header="851" w:footer="992" w:gutter="0"/>
          <w:cols w:space="720"/>
          <w:docGrid w:type="lines" w:linePitch="312"/>
        </w:sectPr>
      </w:pPr>
    </w:p>
    <w:p w14:paraId="1A9A8B51" w14:textId="77777777" w:rsidR="00D272D6" w:rsidRDefault="00000000">
      <w:pPr>
        <w:pStyle w:val="ac"/>
        <w:spacing w:before="0" w:beforeAutospacing="0" w:after="0" w:afterAutospacing="0" w:line="340" w:lineRule="exact"/>
        <w:jc w:val="both"/>
        <w:rPr>
          <w:rFonts w:hint="eastAsia"/>
          <w:b/>
          <w:sz w:val="32"/>
          <w:szCs w:val="32"/>
          <w:lang w:eastAsia="zh-Hans"/>
        </w:rPr>
      </w:pPr>
      <w:r>
        <w:rPr>
          <w:rFonts w:hint="eastAsia"/>
        </w:rPr>
        <w:lastRenderedPageBreak/>
        <w:t>附表</w:t>
      </w:r>
      <w:r>
        <w:t>1</w:t>
      </w:r>
    </w:p>
    <w:p w14:paraId="35DF6D81" w14:textId="77777777" w:rsidR="00D272D6" w:rsidRDefault="00000000">
      <w:pPr>
        <w:widowControl/>
        <w:spacing w:beforeLines="50" w:before="156" w:line="300" w:lineRule="auto"/>
        <w:jc w:val="center"/>
        <w:rPr>
          <w:rFonts w:ascii="宋体" w:hAnsi="宋体" w:hint="eastAsia"/>
          <w:b/>
          <w:sz w:val="32"/>
          <w:szCs w:val="32"/>
          <w:lang w:eastAsia="zh-Hans"/>
        </w:rPr>
      </w:pPr>
      <w:r>
        <w:rPr>
          <w:rFonts w:ascii="宋体" w:hAnsi="宋体" w:hint="eastAsia"/>
          <w:b/>
          <w:sz w:val="32"/>
          <w:szCs w:val="32"/>
          <w:lang w:eastAsia="zh-Hans"/>
        </w:rPr>
        <w:t>课程论文</w:t>
      </w:r>
      <w:commentRangeStart w:id="31"/>
      <w:r>
        <w:rPr>
          <w:rFonts w:ascii="宋体" w:hAnsi="宋体" w:hint="eastAsia"/>
          <w:b/>
          <w:sz w:val="32"/>
          <w:szCs w:val="32"/>
          <w:lang w:eastAsia="zh-Hans"/>
        </w:rPr>
        <w:t>查重报告</w:t>
      </w:r>
      <w:commentRangeEnd w:id="31"/>
      <w:r>
        <w:rPr>
          <w:rStyle w:val="af3"/>
          <w:rFonts w:ascii="宋体" w:hAnsi="宋体" w:hint="eastAsia"/>
          <w:b/>
          <w:sz w:val="32"/>
          <w:szCs w:val="32"/>
          <w:lang w:eastAsia="zh-Hans"/>
        </w:rPr>
        <w:commentReference w:id="31"/>
      </w:r>
    </w:p>
    <w:p w14:paraId="5778C7DA" w14:textId="7A6D6454" w:rsidR="00D272D6" w:rsidRDefault="00D554F8">
      <w:pPr>
        <w:widowControl/>
        <w:spacing w:beforeLines="50" w:before="156" w:line="300" w:lineRule="auto"/>
        <w:jc w:val="center"/>
        <w:rPr>
          <w:rFonts w:hint="eastAsia"/>
        </w:rPr>
      </w:pPr>
      <w:r>
        <w:rPr>
          <w:noProof/>
        </w:rPr>
        <w:drawing>
          <wp:inline distT="0" distB="0" distL="0" distR="0" wp14:anchorId="2AB93C89" wp14:editId="140AB924">
            <wp:extent cx="5940425" cy="6101715"/>
            <wp:effectExtent l="0" t="0" r="3175" b="0"/>
            <wp:docPr id="16176410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641046" name=""/>
                    <pic:cNvPicPr/>
                  </pic:nvPicPr>
                  <pic:blipFill>
                    <a:blip r:embed="rId17"/>
                    <a:stretch>
                      <a:fillRect/>
                    </a:stretch>
                  </pic:blipFill>
                  <pic:spPr>
                    <a:xfrm>
                      <a:off x="0" y="0"/>
                      <a:ext cx="5940425" cy="6101715"/>
                    </a:xfrm>
                    <a:prstGeom prst="rect">
                      <a:avLst/>
                    </a:prstGeom>
                  </pic:spPr>
                </pic:pic>
              </a:graphicData>
            </a:graphic>
          </wp:inline>
        </w:drawing>
      </w:r>
    </w:p>
    <w:p w14:paraId="4F97D5CE" w14:textId="77777777" w:rsidR="00D272D6" w:rsidRDefault="00D272D6">
      <w:pPr>
        <w:pStyle w:val="ac"/>
        <w:spacing w:before="0" w:beforeAutospacing="0" w:after="0" w:afterAutospacing="0" w:line="340" w:lineRule="exact"/>
        <w:jc w:val="both"/>
      </w:pPr>
    </w:p>
    <w:p w14:paraId="3E780647" w14:textId="77777777" w:rsidR="00D554F8" w:rsidRDefault="00D554F8">
      <w:pPr>
        <w:pStyle w:val="ac"/>
        <w:spacing w:before="0" w:beforeAutospacing="0" w:after="0" w:afterAutospacing="0" w:line="340" w:lineRule="exact"/>
        <w:jc w:val="both"/>
      </w:pPr>
    </w:p>
    <w:p w14:paraId="43724DE9" w14:textId="77777777" w:rsidR="00D554F8" w:rsidRDefault="00D554F8">
      <w:pPr>
        <w:pStyle w:val="ac"/>
        <w:spacing w:before="0" w:beforeAutospacing="0" w:after="0" w:afterAutospacing="0" w:line="340" w:lineRule="exact"/>
        <w:jc w:val="both"/>
      </w:pPr>
    </w:p>
    <w:p w14:paraId="5ABF0B86" w14:textId="77777777" w:rsidR="00D554F8" w:rsidRDefault="00D554F8">
      <w:pPr>
        <w:pStyle w:val="ac"/>
        <w:spacing w:before="0" w:beforeAutospacing="0" w:after="0" w:afterAutospacing="0" w:line="340" w:lineRule="exact"/>
        <w:jc w:val="both"/>
      </w:pPr>
    </w:p>
    <w:p w14:paraId="5A05736D" w14:textId="77777777" w:rsidR="00D554F8" w:rsidRDefault="00D554F8">
      <w:pPr>
        <w:pStyle w:val="ac"/>
        <w:spacing w:before="0" w:beforeAutospacing="0" w:after="0" w:afterAutospacing="0" w:line="340" w:lineRule="exact"/>
        <w:jc w:val="both"/>
      </w:pPr>
    </w:p>
    <w:p w14:paraId="4D021FC9" w14:textId="77777777" w:rsidR="00D554F8" w:rsidRDefault="00D554F8">
      <w:pPr>
        <w:pStyle w:val="ac"/>
        <w:spacing w:before="0" w:beforeAutospacing="0" w:after="0" w:afterAutospacing="0" w:line="340" w:lineRule="exact"/>
        <w:jc w:val="both"/>
      </w:pPr>
    </w:p>
    <w:p w14:paraId="067A1251" w14:textId="77777777" w:rsidR="00D554F8" w:rsidRDefault="00D554F8">
      <w:pPr>
        <w:pStyle w:val="ac"/>
        <w:spacing w:before="0" w:beforeAutospacing="0" w:after="0" w:afterAutospacing="0" w:line="340" w:lineRule="exact"/>
        <w:jc w:val="both"/>
      </w:pPr>
    </w:p>
    <w:p w14:paraId="473502EA" w14:textId="77777777" w:rsidR="00D554F8" w:rsidRDefault="00D554F8">
      <w:pPr>
        <w:pStyle w:val="ac"/>
        <w:spacing w:before="0" w:beforeAutospacing="0" w:after="0" w:afterAutospacing="0" w:line="340" w:lineRule="exact"/>
        <w:jc w:val="both"/>
        <w:rPr>
          <w:rFonts w:hint="eastAsia"/>
        </w:rPr>
      </w:pPr>
    </w:p>
    <w:p w14:paraId="0EF210FD" w14:textId="77777777" w:rsidR="00D272D6" w:rsidRDefault="00000000">
      <w:pPr>
        <w:pStyle w:val="ac"/>
        <w:spacing w:before="0" w:beforeAutospacing="0" w:after="0" w:afterAutospacing="0" w:line="340" w:lineRule="exact"/>
        <w:jc w:val="both"/>
        <w:rPr>
          <w:rFonts w:hint="eastAsia"/>
        </w:rPr>
      </w:pPr>
      <w:r>
        <w:rPr>
          <w:rFonts w:hint="eastAsia"/>
        </w:rPr>
        <w:lastRenderedPageBreak/>
        <w:t>附表</w:t>
      </w:r>
      <w:r>
        <w:t>2</w:t>
      </w:r>
    </w:p>
    <w:p w14:paraId="77826285" w14:textId="77777777" w:rsidR="00D272D6" w:rsidRDefault="00000000">
      <w:pPr>
        <w:jc w:val="center"/>
      </w:pPr>
      <w:r>
        <w:rPr>
          <w:rFonts w:hint="eastAsia"/>
          <w:b/>
          <w:sz w:val="32"/>
          <w:szCs w:val="32"/>
        </w:rPr>
        <w:t>课程论文成绩评定表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62"/>
        <w:gridCol w:w="4016"/>
        <w:gridCol w:w="1699"/>
        <w:gridCol w:w="1473"/>
      </w:tblGrid>
      <w:tr w:rsidR="00D272D6" w14:paraId="471A5880" w14:textId="77777777">
        <w:trPr>
          <w:trHeight w:val="1134"/>
          <w:jc w:val="center"/>
        </w:trPr>
        <w:tc>
          <w:tcPr>
            <w:tcW w:w="1562" w:type="dxa"/>
            <w:vAlign w:val="center"/>
          </w:tcPr>
          <w:p w14:paraId="600A7363" w14:textId="77777777" w:rsidR="00D272D6" w:rsidRDefault="00000000">
            <w:pPr>
              <w:pStyle w:val="ac"/>
              <w:spacing w:before="0" w:beforeAutospacing="0" w:after="0" w:afterAutospacing="0" w:line="340" w:lineRule="exact"/>
              <w:jc w:val="center"/>
              <w:rPr>
                <w:rFonts w:hint="eastAsia"/>
              </w:rPr>
            </w:pPr>
            <w:commentRangeStart w:id="32"/>
            <w:r>
              <w:rPr>
                <w:rFonts w:hint="eastAsia"/>
              </w:rPr>
              <w:t>评价项目</w:t>
            </w:r>
          </w:p>
        </w:tc>
        <w:tc>
          <w:tcPr>
            <w:tcW w:w="4016" w:type="dxa"/>
            <w:vAlign w:val="center"/>
          </w:tcPr>
          <w:p w14:paraId="0BF98C89" w14:textId="77777777" w:rsidR="00D272D6" w:rsidRDefault="00000000">
            <w:pPr>
              <w:pStyle w:val="ac"/>
              <w:spacing w:before="0" w:beforeAutospacing="0" w:after="0" w:afterAutospacing="0" w:line="340" w:lineRule="exact"/>
              <w:jc w:val="center"/>
              <w:rPr>
                <w:rFonts w:hint="eastAsia"/>
              </w:rPr>
            </w:pPr>
            <w:r>
              <w:rPr>
                <w:rFonts w:hint="eastAsia"/>
              </w:rPr>
              <w:t>评价内容</w:t>
            </w:r>
          </w:p>
        </w:tc>
        <w:tc>
          <w:tcPr>
            <w:tcW w:w="1699" w:type="dxa"/>
            <w:vAlign w:val="center"/>
          </w:tcPr>
          <w:p w14:paraId="7F912900" w14:textId="77777777" w:rsidR="00D272D6" w:rsidRDefault="00000000">
            <w:pPr>
              <w:pStyle w:val="ac"/>
              <w:spacing w:before="0" w:beforeAutospacing="0" w:after="0" w:afterAutospacing="0" w:line="340" w:lineRule="exact"/>
              <w:jc w:val="center"/>
              <w:rPr>
                <w:rFonts w:hint="eastAsia"/>
              </w:rPr>
            </w:pPr>
            <w:r>
              <w:rPr>
                <w:rFonts w:hint="eastAsia"/>
              </w:rPr>
              <w:t>分值</w:t>
            </w:r>
            <w:commentRangeEnd w:id="32"/>
            <w:r>
              <w:rPr>
                <w:rStyle w:val="af3"/>
                <w:rFonts w:hint="eastAsia"/>
                <w:sz w:val="24"/>
                <w:szCs w:val="24"/>
              </w:rPr>
              <w:commentReference w:id="32"/>
            </w:r>
          </w:p>
        </w:tc>
        <w:tc>
          <w:tcPr>
            <w:tcW w:w="1473" w:type="dxa"/>
            <w:vAlign w:val="center"/>
          </w:tcPr>
          <w:p w14:paraId="7EDEDEE8" w14:textId="77777777" w:rsidR="00D272D6" w:rsidRDefault="00000000">
            <w:pPr>
              <w:pStyle w:val="ac"/>
              <w:spacing w:before="0" w:beforeAutospacing="0" w:after="0" w:afterAutospacing="0" w:line="340" w:lineRule="exact"/>
              <w:jc w:val="center"/>
              <w:rPr>
                <w:rFonts w:hint="eastAsia"/>
              </w:rPr>
            </w:pPr>
            <w:r>
              <w:rPr>
                <w:rFonts w:hint="eastAsia"/>
              </w:rPr>
              <w:t>实际得分</w:t>
            </w:r>
          </w:p>
        </w:tc>
      </w:tr>
      <w:tr w:rsidR="00D272D6" w14:paraId="1A0DB7A1" w14:textId="77777777">
        <w:trPr>
          <w:trHeight w:val="1095"/>
          <w:jc w:val="center"/>
        </w:trPr>
        <w:tc>
          <w:tcPr>
            <w:tcW w:w="1562" w:type="dxa"/>
            <w:vAlign w:val="center"/>
          </w:tcPr>
          <w:p w14:paraId="58C207D5" w14:textId="77777777" w:rsidR="00D272D6" w:rsidRDefault="00000000">
            <w:pPr>
              <w:adjustRightInd w:val="0"/>
              <w:snapToGrid w:val="0"/>
              <w:rPr>
                <w:rFonts w:ascii="宋体" w:hAnsi="宋体" w:hint="eastAsia"/>
                <w:szCs w:val="21"/>
              </w:rPr>
            </w:pPr>
            <w:r>
              <w:rPr>
                <w:rFonts w:ascii="宋体" w:hAnsi="宋体" w:hint="eastAsia"/>
                <w:szCs w:val="21"/>
              </w:rPr>
              <w:t>文献检索与调研</w:t>
            </w:r>
          </w:p>
        </w:tc>
        <w:tc>
          <w:tcPr>
            <w:tcW w:w="4016" w:type="dxa"/>
          </w:tcPr>
          <w:p w14:paraId="26B34E59" w14:textId="77777777" w:rsidR="00D272D6" w:rsidRDefault="00000000">
            <w:pPr>
              <w:adjustRightInd w:val="0"/>
              <w:snapToGrid w:val="0"/>
              <w:spacing w:beforeLines="20" w:before="62" w:afterLines="20" w:after="62"/>
              <w:rPr>
                <w:rFonts w:ascii="宋体" w:hAnsi="宋体" w:hint="eastAsia"/>
                <w:szCs w:val="21"/>
              </w:rPr>
            </w:pPr>
            <w:r>
              <w:rPr>
                <w:rFonts w:ascii="宋体" w:hAnsi="宋体" w:hint="eastAsia"/>
                <w:szCs w:val="21"/>
              </w:rPr>
              <w:t>文献检索全面、前沿，分析归纳系统；调研内容翔实可靠；课题实施方案科学。</w:t>
            </w:r>
          </w:p>
        </w:tc>
        <w:tc>
          <w:tcPr>
            <w:tcW w:w="1699" w:type="dxa"/>
            <w:vAlign w:val="center"/>
          </w:tcPr>
          <w:p w14:paraId="47D16940" w14:textId="77777777" w:rsidR="00D272D6" w:rsidRDefault="00000000">
            <w:pPr>
              <w:adjustRightInd w:val="0"/>
              <w:snapToGrid w:val="0"/>
              <w:spacing w:beforeLines="30" w:before="93" w:afterLines="30" w:after="93"/>
              <w:jc w:val="center"/>
              <w:rPr>
                <w:rFonts w:ascii="宋体" w:hAnsi="宋体" w:hint="eastAsia"/>
                <w:szCs w:val="21"/>
              </w:rPr>
            </w:pPr>
            <w:r>
              <w:rPr>
                <w:rFonts w:ascii="宋体" w:hAnsi="宋体" w:hint="eastAsia"/>
                <w:szCs w:val="21"/>
              </w:rPr>
              <w:t>15</w:t>
            </w:r>
          </w:p>
        </w:tc>
        <w:tc>
          <w:tcPr>
            <w:tcW w:w="1473" w:type="dxa"/>
            <w:vAlign w:val="center"/>
          </w:tcPr>
          <w:p w14:paraId="47BF8993" w14:textId="77777777" w:rsidR="00D272D6" w:rsidRDefault="00000000">
            <w:pPr>
              <w:spacing w:line="340" w:lineRule="exact"/>
              <w:jc w:val="center"/>
            </w:pPr>
            <w:commentRangeStart w:id="33"/>
            <w:commentRangeEnd w:id="33"/>
            <w:r>
              <w:rPr>
                <w:rStyle w:val="af3"/>
                <w:sz w:val="24"/>
                <w:szCs w:val="24"/>
              </w:rPr>
              <w:commentReference w:id="33"/>
            </w:r>
          </w:p>
        </w:tc>
      </w:tr>
      <w:tr w:rsidR="00D272D6" w14:paraId="5AE506C5" w14:textId="77777777">
        <w:trPr>
          <w:trHeight w:val="1095"/>
          <w:jc w:val="center"/>
        </w:trPr>
        <w:tc>
          <w:tcPr>
            <w:tcW w:w="1562" w:type="dxa"/>
            <w:vAlign w:val="center"/>
          </w:tcPr>
          <w:p w14:paraId="1B4A4C32" w14:textId="77777777" w:rsidR="00D272D6" w:rsidRDefault="00000000">
            <w:pPr>
              <w:adjustRightInd w:val="0"/>
              <w:snapToGrid w:val="0"/>
              <w:rPr>
                <w:rFonts w:ascii="宋体" w:hAnsi="宋体" w:hint="eastAsia"/>
                <w:szCs w:val="21"/>
              </w:rPr>
            </w:pPr>
            <w:r>
              <w:rPr>
                <w:rFonts w:ascii="宋体" w:hAnsi="宋体" w:hint="eastAsia"/>
                <w:szCs w:val="21"/>
              </w:rPr>
              <w:t>基础理论与专业知识</w:t>
            </w:r>
          </w:p>
        </w:tc>
        <w:tc>
          <w:tcPr>
            <w:tcW w:w="4016" w:type="dxa"/>
          </w:tcPr>
          <w:p w14:paraId="0C59D031" w14:textId="77777777" w:rsidR="00D272D6" w:rsidRDefault="00000000">
            <w:pPr>
              <w:adjustRightInd w:val="0"/>
              <w:snapToGrid w:val="0"/>
              <w:spacing w:beforeLines="20" w:before="62" w:afterLines="20" w:after="62"/>
              <w:rPr>
                <w:rFonts w:ascii="宋体" w:hAnsi="宋体" w:hint="eastAsia"/>
                <w:szCs w:val="21"/>
              </w:rPr>
            </w:pPr>
            <w:r>
              <w:rPr>
                <w:rFonts w:ascii="宋体" w:hAnsi="宋体" w:hint="eastAsia"/>
                <w:szCs w:val="21"/>
              </w:rPr>
              <w:t>对研究的问题能深入分析或有独到之处，成果突出；基础理论和专业知识扎实，能综合运用所学知识解决实际问题。</w:t>
            </w:r>
          </w:p>
        </w:tc>
        <w:tc>
          <w:tcPr>
            <w:tcW w:w="1699" w:type="dxa"/>
            <w:vAlign w:val="center"/>
          </w:tcPr>
          <w:p w14:paraId="6C9499DA" w14:textId="77777777" w:rsidR="00D272D6" w:rsidRDefault="00000000">
            <w:pPr>
              <w:adjustRightInd w:val="0"/>
              <w:snapToGrid w:val="0"/>
              <w:spacing w:beforeLines="30" w:before="93" w:afterLines="30" w:after="93"/>
              <w:jc w:val="center"/>
              <w:rPr>
                <w:rFonts w:ascii="宋体" w:hAnsi="宋体" w:hint="eastAsia"/>
                <w:szCs w:val="21"/>
              </w:rPr>
            </w:pPr>
            <w:r>
              <w:rPr>
                <w:rFonts w:ascii="宋体" w:hAnsi="宋体" w:hint="eastAsia"/>
                <w:szCs w:val="21"/>
              </w:rPr>
              <w:t>35</w:t>
            </w:r>
          </w:p>
        </w:tc>
        <w:tc>
          <w:tcPr>
            <w:tcW w:w="1473" w:type="dxa"/>
            <w:vAlign w:val="center"/>
          </w:tcPr>
          <w:p w14:paraId="1BDF26ED" w14:textId="77777777" w:rsidR="00D272D6" w:rsidRDefault="00D272D6">
            <w:pPr>
              <w:spacing w:line="340" w:lineRule="exact"/>
              <w:jc w:val="center"/>
            </w:pPr>
          </w:p>
        </w:tc>
      </w:tr>
      <w:tr w:rsidR="00D272D6" w14:paraId="56C84099" w14:textId="77777777">
        <w:trPr>
          <w:trHeight w:val="1095"/>
          <w:jc w:val="center"/>
        </w:trPr>
        <w:tc>
          <w:tcPr>
            <w:tcW w:w="1562" w:type="dxa"/>
            <w:vAlign w:val="center"/>
          </w:tcPr>
          <w:p w14:paraId="1F41A802" w14:textId="77777777" w:rsidR="00D272D6" w:rsidRDefault="00000000">
            <w:pPr>
              <w:adjustRightInd w:val="0"/>
              <w:snapToGrid w:val="0"/>
              <w:rPr>
                <w:rFonts w:ascii="宋体" w:hAnsi="宋体" w:hint="eastAsia"/>
                <w:szCs w:val="21"/>
              </w:rPr>
            </w:pPr>
            <w:r>
              <w:rPr>
                <w:rFonts w:ascii="宋体" w:hAnsi="宋体" w:hint="eastAsia"/>
                <w:szCs w:val="21"/>
              </w:rPr>
              <w:t>方法与手段</w:t>
            </w:r>
          </w:p>
        </w:tc>
        <w:tc>
          <w:tcPr>
            <w:tcW w:w="4016" w:type="dxa"/>
          </w:tcPr>
          <w:p w14:paraId="34D7128B" w14:textId="77777777" w:rsidR="00D272D6" w:rsidRDefault="00000000">
            <w:pPr>
              <w:adjustRightInd w:val="0"/>
              <w:snapToGrid w:val="0"/>
              <w:spacing w:beforeLines="20" w:before="62" w:afterLines="20" w:after="62"/>
              <w:rPr>
                <w:rFonts w:ascii="宋体" w:hAnsi="宋体" w:hint="eastAsia"/>
                <w:szCs w:val="21"/>
              </w:rPr>
            </w:pPr>
            <w:r>
              <w:rPr>
                <w:rFonts w:ascii="宋体" w:hAnsi="宋体" w:hint="eastAsia"/>
                <w:szCs w:val="21"/>
              </w:rPr>
              <w:t>研究方案设计合理、研究方法科学、实用性强；论证充分；数据采集可靠、理论分析与计算正确。</w:t>
            </w:r>
          </w:p>
        </w:tc>
        <w:tc>
          <w:tcPr>
            <w:tcW w:w="1699" w:type="dxa"/>
            <w:vAlign w:val="center"/>
          </w:tcPr>
          <w:p w14:paraId="39EF32B7" w14:textId="77777777" w:rsidR="00D272D6" w:rsidRDefault="00000000">
            <w:pPr>
              <w:adjustRightInd w:val="0"/>
              <w:snapToGrid w:val="0"/>
              <w:spacing w:beforeLines="30" w:before="93" w:afterLines="30" w:after="93"/>
              <w:jc w:val="center"/>
              <w:rPr>
                <w:rFonts w:ascii="宋体" w:hAnsi="宋体" w:hint="eastAsia"/>
                <w:szCs w:val="21"/>
              </w:rPr>
            </w:pPr>
            <w:r>
              <w:rPr>
                <w:rFonts w:ascii="宋体" w:hAnsi="宋体" w:hint="eastAsia"/>
                <w:szCs w:val="21"/>
              </w:rPr>
              <w:t>20</w:t>
            </w:r>
          </w:p>
        </w:tc>
        <w:tc>
          <w:tcPr>
            <w:tcW w:w="1473" w:type="dxa"/>
            <w:vAlign w:val="center"/>
          </w:tcPr>
          <w:p w14:paraId="2879769D" w14:textId="77777777" w:rsidR="00D272D6" w:rsidRDefault="00D272D6">
            <w:pPr>
              <w:spacing w:line="340" w:lineRule="exact"/>
              <w:jc w:val="center"/>
            </w:pPr>
          </w:p>
        </w:tc>
      </w:tr>
      <w:tr w:rsidR="00D272D6" w14:paraId="605AB8BA" w14:textId="77777777">
        <w:trPr>
          <w:trHeight w:val="1095"/>
          <w:jc w:val="center"/>
        </w:trPr>
        <w:tc>
          <w:tcPr>
            <w:tcW w:w="1562" w:type="dxa"/>
            <w:vAlign w:val="center"/>
          </w:tcPr>
          <w:p w14:paraId="5B630612" w14:textId="77777777" w:rsidR="00D272D6" w:rsidRDefault="00000000">
            <w:pPr>
              <w:adjustRightInd w:val="0"/>
              <w:snapToGrid w:val="0"/>
              <w:rPr>
                <w:rFonts w:ascii="宋体" w:hAnsi="宋体" w:hint="eastAsia"/>
                <w:szCs w:val="21"/>
              </w:rPr>
            </w:pPr>
            <w:r>
              <w:rPr>
                <w:rFonts w:ascii="宋体" w:hAnsi="宋体" w:hint="eastAsia"/>
                <w:szCs w:val="21"/>
              </w:rPr>
              <w:t>创新能力</w:t>
            </w:r>
          </w:p>
        </w:tc>
        <w:tc>
          <w:tcPr>
            <w:tcW w:w="4016" w:type="dxa"/>
          </w:tcPr>
          <w:p w14:paraId="00ECCE3D" w14:textId="77777777" w:rsidR="00D272D6" w:rsidRDefault="00000000">
            <w:pPr>
              <w:adjustRightInd w:val="0"/>
              <w:snapToGrid w:val="0"/>
              <w:spacing w:beforeLines="20" w:before="62" w:afterLines="20" w:after="62"/>
              <w:rPr>
                <w:rFonts w:ascii="宋体" w:hAnsi="宋体" w:hint="eastAsia"/>
                <w:szCs w:val="21"/>
              </w:rPr>
            </w:pPr>
            <w:r>
              <w:rPr>
                <w:rFonts w:ascii="宋体" w:hAnsi="宋体" w:hint="eastAsia"/>
                <w:szCs w:val="21"/>
              </w:rPr>
              <w:t>有重大改进、突破或独特见解，有一定实用价值。</w:t>
            </w:r>
          </w:p>
        </w:tc>
        <w:tc>
          <w:tcPr>
            <w:tcW w:w="1699" w:type="dxa"/>
            <w:vAlign w:val="center"/>
          </w:tcPr>
          <w:p w14:paraId="17B0AAA4" w14:textId="77777777" w:rsidR="00D272D6" w:rsidRDefault="00000000">
            <w:pPr>
              <w:adjustRightInd w:val="0"/>
              <w:snapToGrid w:val="0"/>
              <w:spacing w:beforeLines="30" w:before="93" w:afterLines="30" w:after="93"/>
              <w:jc w:val="center"/>
              <w:rPr>
                <w:rFonts w:ascii="宋体" w:hAnsi="宋体" w:hint="eastAsia"/>
                <w:szCs w:val="21"/>
              </w:rPr>
            </w:pPr>
            <w:r>
              <w:rPr>
                <w:rFonts w:ascii="宋体" w:hAnsi="宋体" w:hint="eastAsia"/>
                <w:szCs w:val="21"/>
              </w:rPr>
              <w:t>10</w:t>
            </w:r>
          </w:p>
        </w:tc>
        <w:tc>
          <w:tcPr>
            <w:tcW w:w="1473" w:type="dxa"/>
            <w:vAlign w:val="center"/>
          </w:tcPr>
          <w:p w14:paraId="6F8F1D0F" w14:textId="77777777" w:rsidR="00D272D6" w:rsidRDefault="00D272D6">
            <w:pPr>
              <w:spacing w:line="340" w:lineRule="exact"/>
              <w:jc w:val="center"/>
            </w:pPr>
          </w:p>
        </w:tc>
      </w:tr>
      <w:tr w:rsidR="00D272D6" w14:paraId="7655F4EA" w14:textId="77777777">
        <w:trPr>
          <w:trHeight w:val="1095"/>
          <w:jc w:val="center"/>
        </w:trPr>
        <w:tc>
          <w:tcPr>
            <w:tcW w:w="1562" w:type="dxa"/>
            <w:vAlign w:val="center"/>
          </w:tcPr>
          <w:p w14:paraId="136DABF0" w14:textId="77777777" w:rsidR="00D272D6" w:rsidRDefault="00000000">
            <w:pPr>
              <w:adjustRightInd w:val="0"/>
              <w:snapToGrid w:val="0"/>
              <w:rPr>
                <w:rFonts w:ascii="宋体" w:hAnsi="宋体" w:hint="eastAsia"/>
                <w:szCs w:val="21"/>
              </w:rPr>
            </w:pPr>
            <w:r>
              <w:rPr>
                <w:rFonts w:ascii="宋体" w:hAnsi="宋体" w:hint="eastAsia"/>
                <w:szCs w:val="21"/>
              </w:rPr>
              <w:t>撰写质量与规范</w:t>
            </w:r>
          </w:p>
        </w:tc>
        <w:tc>
          <w:tcPr>
            <w:tcW w:w="4016" w:type="dxa"/>
          </w:tcPr>
          <w:p w14:paraId="7169CD08" w14:textId="77777777" w:rsidR="00D272D6" w:rsidRDefault="00000000">
            <w:pPr>
              <w:adjustRightInd w:val="0"/>
              <w:snapToGrid w:val="0"/>
              <w:spacing w:beforeLines="20" w:before="62" w:afterLines="20" w:after="62"/>
              <w:rPr>
                <w:rFonts w:ascii="宋体" w:hAnsi="宋体" w:hint="eastAsia"/>
                <w:szCs w:val="21"/>
              </w:rPr>
            </w:pPr>
            <w:r>
              <w:rPr>
                <w:rFonts w:ascii="宋体" w:hAnsi="宋体" w:hint="eastAsia"/>
                <w:szCs w:val="21"/>
              </w:rPr>
              <w:t>结构严谨、逻辑性强、论述层次清晰；语言准确、文字流畅；格式、图、表规范，符合要求；严格保证设计时间和进度。</w:t>
            </w:r>
          </w:p>
        </w:tc>
        <w:tc>
          <w:tcPr>
            <w:tcW w:w="1699" w:type="dxa"/>
            <w:vAlign w:val="center"/>
          </w:tcPr>
          <w:p w14:paraId="02EBAA9D" w14:textId="77777777" w:rsidR="00D272D6" w:rsidRDefault="00000000">
            <w:pPr>
              <w:adjustRightInd w:val="0"/>
              <w:snapToGrid w:val="0"/>
              <w:spacing w:beforeLines="30" w:before="93" w:afterLines="30" w:after="93"/>
              <w:jc w:val="center"/>
              <w:rPr>
                <w:rFonts w:ascii="宋体" w:hAnsi="宋体" w:hint="eastAsia"/>
                <w:szCs w:val="21"/>
              </w:rPr>
            </w:pPr>
            <w:r>
              <w:rPr>
                <w:rFonts w:ascii="宋体" w:hAnsi="宋体" w:hint="eastAsia"/>
                <w:szCs w:val="21"/>
              </w:rPr>
              <w:t>20</w:t>
            </w:r>
          </w:p>
        </w:tc>
        <w:tc>
          <w:tcPr>
            <w:tcW w:w="1473" w:type="dxa"/>
            <w:vAlign w:val="center"/>
          </w:tcPr>
          <w:p w14:paraId="25FD0282" w14:textId="77777777" w:rsidR="00D272D6" w:rsidRDefault="00D272D6">
            <w:pPr>
              <w:spacing w:line="340" w:lineRule="exact"/>
              <w:jc w:val="center"/>
            </w:pPr>
          </w:p>
        </w:tc>
      </w:tr>
      <w:tr w:rsidR="00D272D6" w14:paraId="6C1F73AD" w14:textId="77777777">
        <w:trPr>
          <w:trHeight w:val="1095"/>
          <w:jc w:val="center"/>
        </w:trPr>
        <w:tc>
          <w:tcPr>
            <w:tcW w:w="1562" w:type="dxa"/>
            <w:vAlign w:val="center"/>
          </w:tcPr>
          <w:p w14:paraId="5AA1B4FC" w14:textId="77777777" w:rsidR="00D272D6" w:rsidRDefault="00D272D6">
            <w:pPr>
              <w:adjustRightInd w:val="0"/>
              <w:snapToGrid w:val="0"/>
              <w:jc w:val="center"/>
              <w:rPr>
                <w:rFonts w:ascii="宋体" w:hAnsi="宋体" w:hint="eastAsia"/>
                <w:szCs w:val="21"/>
              </w:rPr>
            </w:pPr>
          </w:p>
        </w:tc>
        <w:tc>
          <w:tcPr>
            <w:tcW w:w="4016" w:type="dxa"/>
          </w:tcPr>
          <w:p w14:paraId="08A90AAE" w14:textId="77777777" w:rsidR="00D272D6" w:rsidRDefault="00D272D6">
            <w:pPr>
              <w:adjustRightInd w:val="0"/>
              <w:snapToGrid w:val="0"/>
              <w:spacing w:beforeLines="20" w:before="62" w:afterLines="20" w:after="62"/>
              <w:jc w:val="left"/>
              <w:rPr>
                <w:rFonts w:ascii="宋体" w:hAnsi="宋体" w:hint="eastAsia"/>
                <w:szCs w:val="21"/>
              </w:rPr>
            </w:pPr>
          </w:p>
        </w:tc>
        <w:tc>
          <w:tcPr>
            <w:tcW w:w="1699" w:type="dxa"/>
            <w:vAlign w:val="center"/>
          </w:tcPr>
          <w:p w14:paraId="580B7499" w14:textId="77777777" w:rsidR="00D272D6" w:rsidRDefault="00D272D6">
            <w:pPr>
              <w:spacing w:line="340" w:lineRule="exact"/>
              <w:jc w:val="center"/>
            </w:pPr>
          </w:p>
        </w:tc>
        <w:tc>
          <w:tcPr>
            <w:tcW w:w="1473" w:type="dxa"/>
            <w:vAlign w:val="center"/>
          </w:tcPr>
          <w:p w14:paraId="4A85050C" w14:textId="77777777" w:rsidR="00D272D6" w:rsidRDefault="00D272D6">
            <w:pPr>
              <w:spacing w:line="340" w:lineRule="exact"/>
              <w:jc w:val="center"/>
            </w:pPr>
          </w:p>
        </w:tc>
      </w:tr>
      <w:tr w:rsidR="00D272D6" w14:paraId="0FF38DF1" w14:textId="77777777">
        <w:trPr>
          <w:trHeight w:val="631"/>
          <w:jc w:val="center"/>
        </w:trPr>
        <w:tc>
          <w:tcPr>
            <w:tcW w:w="7277" w:type="dxa"/>
            <w:gridSpan w:val="3"/>
            <w:vAlign w:val="center"/>
          </w:tcPr>
          <w:p w14:paraId="0DA59748" w14:textId="77777777" w:rsidR="00D272D6" w:rsidRDefault="00000000">
            <w:pPr>
              <w:pStyle w:val="ac"/>
              <w:spacing w:before="0" w:beforeAutospacing="0" w:after="0" w:afterAutospacing="0" w:line="340" w:lineRule="exact"/>
              <w:jc w:val="center"/>
              <w:rPr>
                <w:rFonts w:hint="eastAsia"/>
              </w:rPr>
            </w:pPr>
            <w:r>
              <w:rPr>
                <w:rFonts w:hint="eastAsia"/>
              </w:rPr>
              <w:t>实际得分合计</w:t>
            </w:r>
          </w:p>
        </w:tc>
        <w:tc>
          <w:tcPr>
            <w:tcW w:w="1473" w:type="dxa"/>
            <w:vAlign w:val="center"/>
          </w:tcPr>
          <w:p w14:paraId="24A95A22" w14:textId="77777777" w:rsidR="00D272D6" w:rsidRDefault="00000000">
            <w:pPr>
              <w:pStyle w:val="ac"/>
              <w:spacing w:before="0" w:beforeAutospacing="0" w:after="0" w:afterAutospacing="0" w:line="340" w:lineRule="exact"/>
              <w:jc w:val="center"/>
              <w:rPr>
                <w:rFonts w:hint="eastAsia"/>
              </w:rPr>
            </w:pPr>
            <w:commentRangeStart w:id="34"/>
            <w:commentRangeEnd w:id="34"/>
            <w:r>
              <w:rPr>
                <w:rStyle w:val="af3"/>
                <w:rFonts w:hint="eastAsia"/>
                <w:sz w:val="24"/>
                <w:szCs w:val="24"/>
              </w:rPr>
              <w:commentReference w:id="34"/>
            </w:r>
          </w:p>
        </w:tc>
      </w:tr>
    </w:tbl>
    <w:p w14:paraId="0D9903E3" w14:textId="77777777" w:rsidR="00D272D6" w:rsidRDefault="00D272D6">
      <w:pPr>
        <w:spacing w:line="480" w:lineRule="auto"/>
        <w:ind w:right="1680"/>
        <w:jc w:val="right"/>
        <w:rPr>
          <w:rFonts w:ascii="宋体" w:hAnsi="宋体" w:hint="eastAsia"/>
          <w:color w:val="000000"/>
          <w:kern w:val="0"/>
        </w:rPr>
      </w:pPr>
    </w:p>
    <w:p w14:paraId="4236CAD2" w14:textId="77777777" w:rsidR="00D272D6" w:rsidRDefault="00000000">
      <w:pPr>
        <w:spacing w:line="480" w:lineRule="auto"/>
        <w:ind w:right="1680"/>
        <w:jc w:val="right"/>
        <w:rPr>
          <w:rFonts w:ascii="宋体" w:hAnsi="宋体" w:hint="eastAsia"/>
          <w:color w:val="000000"/>
          <w:kern w:val="0"/>
        </w:rPr>
      </w:pPr>
      <w:r>
        <w:rPr>
          <w:rFonts w:ascii="宋体" w:hAnsi="宋体" w:hint="eastAsia"/>
          <w:color w:val="000000"/>
          <w:kern w:val="0"/>
        </w:rPr>
        <w:t>指导教师签名：</w:t>
      </w:r>
      <w:commentRangeStart w:id="35"/>
      <w:commentRangeEnd w:id="35"/>
      <w:r>
        <w:rPr>
          <w:rStyle w:val="af3"/>
          <w:rFonts w:ascii="宋体" w:hAnsi="宋体" w:hint="eastAsia"/>
          <w:color w:val="000000"/>
          <w:kern w:val="0"/>
          <w:sz w:val="24"/>
          <w:szCs w:val="24"/>
        </w:rPr>
        <w:commentReference w:id="35"/>
      </w:r>
    </w:p>
    <w:p w14:paraId="4B0FAC56" w14:textId="77777777" w:rsidR="00D272D6" w:rsidRDefault="00000000">
      <w:pPr>
        <w:pStyle w:val="ac"/>
        <w:spacing w:before="0" w:beforeAutospacing="0" w:after="0" w:afterAutospacing="0" w:line="480" w:lineRule="auto"/>
        <w:ind w:firstLineChars="200" w:firstLine="480"/>
        <w:jc w:val="right"/>
        <w:rPr>
          <w:rFonts w:hint="eastAsia"/>
        </w:rPr>
      </w:pPr>
      <w:r>
        <w:rPr>
          <w:rFonts w:hint="eastAsia"/>
        </w:rPr>
        <w:t>年     月     日</w:t>
      </w:r>
    </w:p>
    <w:p w14:paraId="3353351C" w14:textId="77777777" w:rsidR="00D272D6" w:rsidRDefault="00D272D6">
      <w:pPr>
        <w:pStyle w:val="ac"/>
        <w:spacing w:before="0" w:beforeAutospacing="0" w:after="0" w:afterAutospacing="0"/>
        <w:ind w:firstLineChars="200" w:firstLine="360"/>
        <w:jc w:val="right"/>
        <w:rPr>
          <w:rFonts w:hint="eastAsia"/>
          <w:sz w:val="18"/>
          <w:szCs w:val="18"/>
        </w:rPr>
      </w:pPr>
    </w:p>
    <w:p w14:paraId="1A295328" w14:textId="77777777" w:rsidR="00D272D6" w:rsidRDefault="00000000">
      <w:pPr>
        <w:pStyle w:val="ac"/>
        <w:spacing w:before="0" w:beforeAutospacing="0" w:after="0" w:afterAutospacing="0" w:line="340" w:lineRule="exact"/>
        <w:jc w:val="both"/>
        <w:rPr>
          <w:rFonts w:hint="eastAsia"/>
        </w:rPr>
      </w:pPr>
      <w:r>
        <w:rPr>
          <w:rFonts w:hint="eastAsia"/>
        </w:rPr>
        <w:t>备注：</w:t>
      </w:r>
    </w:p>
    <w:p w14:paraId="3E67F328" w14:textId="77777777" w:rsidR="00D272D6" w:rsidRDefault="00000000">
      <w:pPr>
        <w:pStyle w:val="ac"/>
        <w:spacing w:before="0" w:beforeAutospacing="0" w:after="0" w:afterAutospacing="0" w:line="340" w:lineRule="exact"/>
        <w:ind w:firstLineChars="300" w:firstLine="720"/>
        <w:jc w:val="both"/>
        <w:rPr>
          <w:rFonts w:hint="eastAsia"/>
          <w:color w:val="FF0000"/>
        </w:rPr>
      </w:pPr>
      <w:r>
        <w:rPr>
          <w:rFonts w:hint="eastAsia"/>
          <w:color w:val="FF0000"/>
        </w:rPr>
        <w:t>1、各学院根据各专业、各门课程的具体情况填写评价项目、评价内容以及评分标准，行数可以自行添加。（同一门课程的填写评价项目、评价内容以及评分标准必须一致）</w:t>
      </w:r>
      <w:r>
        <w:rPr>
          <w:rFonts w:hint="eastAsia"/>
          <w:color w:val="FF0000"/>
          <w:lang w:eastAsia="zh-Hans"/>
        </w:rPr>
        <w:t>。</w:t>
      </w:r>
    </w:p>
    <w:p w14:paraId="34E82644" w14:textId="77777777" w:rsidR="00650C60" w:rsidRDefault="00000000">
      <w:pPr>
        <w:pStyle w:val="ac"/>
        <w:spacing w:before="0" w:beforeAutospacing="0" w:after="0" w:afterAutospacing="0" w:line="340" w:lineRule="exact"/>
        <w:ind w:firstLineChars="300" w:firstLine="720"/>
        <w:jc w:val="both"/>
        <w:rPr>
          <w:rFonts w:hint="eastAsia"/>
        </w:rPr>
      </w:pPr>
      <w:r>
        <w:rPr>
          <w:rFonts w:hint="eastAsia"/>
          <w:color w:val="FF0000"/>
        </w:rPr>
        <w:t>2、论文里需要用红笔批注。</w:t>
      </w:r>
    </w:p>
    <w:sectPr w:rsidR="00650C60">
      <w:footerReference w:type="default" r:id="rId18"/>
      <w:pgSz w:w="11906" w:h="16838"/>
      <w:pgMar w:top="1417" w:right="1134" w:bottom="1417" w:left="1134" w:header="851" w:footer="992" w:gutter="283"/>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reen" w:date="2020-10-22T22:10:00Z" w:initials="g">
    <w:p w14:paraId="4910C549" w14:textId="77777777" w:rsidR="00D272D6" w:rsidRDefault="00C602F4">
      <w:pPr>
        <w:pStyle w:val="a3"/>
        <w:rPr>
          <w:lang w:eastAsia="zh-Hans"/>
        </w:rPr>
      </w:pPr>
      <w:r>
        <w:rPr>
          <w:rStyle w:val="af3"/>
        </w:rPr>
        <w:annotationRef/>
      </w:r>
      <w:r>
        <w:rPr>
          <w:rFonts w:hint="eastAsia"/>
          <w:lang w:eastAsia="zh-Hans"/>
        </w:rPr>
        <w:t>注意：</w:t>
      </w:r>
    </w:p>
    <w:p w14:paraId="236D5F68" w14:textId="77777777" w:rsidR="00D272D6" w:rsidRDefault="00000000">
      <w:pPr>
        <w:pStyle w:val="a3"/>
        <w:rPr>
          <w:lang w:eastAsia="zh-Hans"/>
        </w:rPr>
      </w:pPr>
      <w:r>
        <w:rPr>
          <w:lang w:eastAsia="zh-Hans"/>
        </w:rPr>
        <w:t>1</w:t>
      </w:r>
      <w:r>
        <w:rPr>
          <w:rFonts w:hint="eastAsia"/>
          <w:lang w:eastAsia="zh-Hans"/>
        </w:rPr>
        <w:t>.</w:t>
      </w:r>
      <w:r>
        <w:rPr>
          <w:rFonts w:hint="eastAsia"/>
          <w:lang w:eastAsia="zh-Hans"/>
        </w:rPr>
        <w:t>该字体为“</w:t>
      </w:r>
      <w:r>
        <w:rPr>
          <w:rFonts w:hint="eastAsia"/>
          <w:b/>
          <w:bCs/>
          <w:lang w:eastAsia="zh-Hans"/>
        </w:rPr>
        <w:t>楷体</w:t>
      </w:r>
      <w:r>
        <w:rPr>
          <w:b/>
          <w:bCs/>
          <w:lang w:eastAsia="zh-Hans"/>
        </w:rPr>
        <w:t>GB2312</w:t>
      </w:r>
      <w:r>
        <w:rPr>
          <w:rFonts w:hint="eastAsia"/>
          <w:lang w:eastAsia="zh-Hans"/>
        </w:rPr>
        <w:t>”，打印时需检查是否显示正确。电脑若无此字体，需先安装字体。</w:t>
      </w:r>
    </w:p>
    <w:p w14:paraId="35F1E31C" w14:textId="77777777" w:rsidR="00D272D6" w:rsidRDefault="00000000">
      <w:pPr>
        <w:pStyle w:val="a3"/>
        <w:rPr>
          <w:lang w:eastAsia="zh-Hans"/>
        </w:rPr>
      </w:pPr>
      <w:r>
        <w:rPr>
          <w:rFonts w:hint="eastAsia"/>
          <w:lang w:eastAsia="zh-Hans"/>
        </w:rPr>
        <w:t>2</w:t>
      </w:r>
      <w:r>
        <w:rPr>
          <w:lang w:eastAsia="zh-Hans"/>
        </w:rPr>
        <w:t>.</w:t>
      </w:r>
      <w:r>
        <w:rPr>
          <w:rFonts w:hint="eastAsia"/>
          <w:lang w:eastAsia="zh-Hans"/>
        </w:rPr>
        <w:t>本页封面与封底需用</w:t>
      </w:r>
      <w:r>
        <w:rPr>
          <w:rFonts w:hint="eastAsia"/>
          <w:b/>
          <w:bCs/>
          <w:lang w:eastAsia="zh-Hans"/>
        </w:rPr>
        <w:t>绿色封皮纸</w:t>
      </w:r>
      <w:r>
        <w:rPr>
          <w:rFonts w:hint="eastAsia"/>
          <w:lang w:eastAsia="zh-Hans"/>
        </w:rPr>
        <w:t>打印和装订。</w:t>
      </w:r>
    </w:p>
    <w:p w14:paraId="1BA28A35" w14:textId="77777777" w:rsidR="00D272D6" w:rsidRDefault="00000000">
      <w:pPr>
        <w:pStyle w:val="a3"/>
        <w:rPr>
          <w:lang w:eastAsia="zh-Hans"/>
        </w:rPr>
      </w:pPr>
      <w:r>
        <w:rPr>
          <w:rFonts w:hint="eastAsia"/>
          <w:lang w:eastAsia="zh-Hans"/>
        </w:rPr>
        <w:t>3</w:t>
      </w:r>
      <w:r>
        <w:rPr>
          <w:lang w:eastAsia="zh-Hans"/>
        </w:rPr>
        <w:t>.</w:t>
      </w:r>
      <w:r>
        <w:rPr>
          <w:rFonts w:hint="eastAsia"/>
        </w:rPr>
        <w:t>全文</w:t>
      </w:r>
      <w:r>
        <w:rPr>
          <w:rFonts w:hint="eastAsia"/>
          <w:b/>
          <w:bCs/>
          <w:lang w:eastAsia="zh-Hans"/>
        </w:rPr>
        <w:t>页边距</w:t>
      </w:r>
      <w:r>
        <w:rPr>
          <w:rFonts w:hint="eastAsia"/>
        </w:rPr>
        <w:t>设置</w:t>
      </w:r>
      <w:r>
        <w:rPr>
          <w:rFonts w:hint="eastAsia"/>
          <w:lang w:eastAsia="zh-Hans"/>
        </w:rPr>
        <w:t>要求为：</w:t>
      </w:r>
    </w:p>
    <w:p w14:paraId="459CCF59" w14:textId="77777777" w:rsidR="00D272D6" w:rsidRDefault="00000000">
      <w:pPr>
        <w:pStyle w:val="a3"/>
        <w:rPr>
          <w:lang w:eastAsia="zh-Hans"/>
        </w:rPr>
      </w:pPr>
      <w:r>
        <w:rPr>
          <w:rFonts w:hint="eastAsia"/>
          <w:lang w:eastAsia="zh-Hans"/>
        </w:rPr>
        <w:t>上（</w:t>
      </w:r>
      <w:r>
        <w:rPr>
          <w:rFonts w:hint="eastAsia"/>
          <w:lang w:eastAsia="zh-Hans"/>
        </w:rPr>
        <w:t>T</w:t>
      </w:r>
      <w:r>
        <w:rPr>
          <w:rFonts w:hint="eastAsia"/>
          <w:lang w:eastAsia="zh-Hans"/>
        </w:rPr>
        <w:t>）：</w:t>
      </w:r>
      <w:r>
        <w:rPr>
          <w:rFonts w:hint="eastAsia"/>
          <w:lang w:eastAsia="zh-Hans"/>
        </w:rPr>
        <w:t xml:space="preserve">2.5 cm </w:t>
      </w:r>
      <w:r>
        <w:rPr>
          <w:lang w:eastAsia="zh-Hans"/>
        </w:rPr>
        <w:t xml:space="preserve">   </w:t>
      </w:r>
      <w:r>
        <w:rPr>
          <w:rFonts w:hint="eastAsia"/>
          <w:lang w:eastAsia="zh-Hans"/>
        </w:rPr>
        <w:t>下（</w:t>
      </w:r>
      <w:r>
        <w:rPr>
          <w:rFonts w:hint="eastAsia"/>
          <w:lang w:eastAsia="zh-Hans"/>
        </w:rPr>
        <w:t>B</w:t>
      </w:r>
      <w:r>
        <w:rPr>
          <w:rFonts w:hint="eastAsia"/>
          <w:lang w:eastAsia="zh-Hans"/>
        </w:rPr>
        <w:t>）：</w:t>
      </w:r>
      <w:r>
        <w:rPr>
          <w:rFonts w:hint="eastAsia"/>
          <w:lang w:eastAsia="zh-Hans"/>
        </w:rPr>
        <w:t>2.5 cm</w:t>
      </w:r>
    </w:p>
    <w:p w14:paraId="2BCB56BC" w14:textId="77777777" w:rsidR="00D272D6" w:rsidRDefault="00000000">
      <w:pPr>
        <w:pStyle w:val="a3"/>
        <w:rPr>
          <w:lang w:eastAsia="zh-Hans"/>
        </w:rPr>
      </w:pPr>
      <w:r>
        <w:rPr>
          <w:rFonts w:hint="eastAsia"/>
          <w:lang w:eastAsia="zh-Hans"/>
        </w:rPr>
        <w:t>左（</w:t>
      </w:r>
      <w:r>
        <w:rPr>
          <w:rFonts w:hint="eastAsia"/>
          <w:lang w:eastAsia="zh-Hans"/>
        </w:rPr>
        <w:t>L</w:t>
      </w:r>
      <w:r>
        <w:rPr>
          <w:rFonts w:hint="eastAsia"/>
          <w:lang w:eastAsia="zh-Hans"/>
        </w:rPr>
        <w:t>）：</w:t>
      </w:r>
      <w:r>
        <w:rPr>
          <w:rFonts w:hint="eastAsia"/>
          <w:lang w:eastAsia="zh-Hans"/>
        </w:rPr>
        <w:t xml:space="preserve">2 cm </w:t>
      </w:r>
      <w:r>
        <w:rPr>
          <w:lang w:eastAsia="zh-Hans"/>
        </w:rPr>
        <w:t xml:space="preserve">     </w:t>
      </w:r>
      <w:r>
        <w:rPr>
          <w:rFonts w:hint="eastAsia"/>
          <w:lang w:eastAsia="zh-Hans"/>
        </w:rPr>
        <w:t>右（</w:t>
      </w:r>
      <w:r>
        <w:rPr>
          <w:rFonts w:hint="eastAsia"/>
          <w:lang w:eastAsia="zh-Hans"/>
        </w:rPr>
        <w:t>R</w:t>
      </w:r>
      <w:r>
        <w:rPr>
          <w:rFonts w:hint="eastAsia"/>
          <w:lang w:eastAsia="zh-Hans"/>
        </w:rPr>
        <w:t>）：</w:t>
      </w:r>
      <w:r>
        <w:rPr>
          <w:rFonts w:hint="eastAsia"/>
          <w:lang w:eastAsia="zh-Hans"/>
        </w:rPr>
        <w:t>2 cm</w:t>
      </w:r>
    </w:p>
    <w:p w14:paraId="32CB3620" w14:textId="77777777" w:rsidR="00D272D6" w:rsidRDefault="00000000">
      <w:pPr>
        <w:pStyle w:val="a3"/>
        <w:rPr>
          <w:lang w:eastAsia="zh-Hans"/>
        </w:rPr>
      </w:pPr>
      <w:r>
        <w:rPr>
          <w:rFonts w:hint="eastAsia"/>
          <w:lang w:eastAsia="zh-Hans"/>
        </w:rPr>
        <w:t>装订线（</w:t>
      </w:r>
      <w:r>
        <w:rPr>
          <w:rFonts w:hint="eastAsia"/>
          <w:lang w:eastAsia="zh-Hans"/>
        </w:rPr>
        <w:t>T</w:t>
      </w:r>
      <w:r>
        <w:rPr>
          <w:rFonts w:hint="eastAsia"/>
          <w:lang w:eastAsia="zh-Hans"/>
        </w:rPr>
        <w:t>）：</w:t>
      </w:r>
      <w:r>
        <w:rPr>
          <w:rFonts w:hint="eastAsia"/>
          <w:lang w:eastAsia="zh-Hans"/>
        </w:rPr>
        <w:t xml:space="preserve">0.5 cm </w:t>
      </w:r>
      <w:r>
        <w:rPr>
          <w:lang w:eastAsia="zh-Hans"/>
        </w:rPr>
        <w:t xml:space="preserve">  </w:t>
      </w:r>
      <w:r>
        <w:rPr>
          <w:rFonts w:hint="eastAsia"/>
          <w:lang w:eastAsia="zh-Hans"/>
        </w:rPr>
        <w:t>装订线位置（</w:t>
      </w:r>
      <w:r>
        <w:rPr>
          <w:rFonts w:hint="eastAsia"/>
          <w:lang w:eastAsia="zh-Hans"/>
        </w:rPr>
        <w:t>T</w:t>
      </w:r>
      <w:r>
        <w:rPr>
          <w:rFonts w:hint="eastAsia"/>
          <w:lang w:eastAsia="zh-Hans"/>
        </w:rPr>
        <w:t>）：左</w:t>
      </w:r>
    </w:p>
  </w:comment>
  <w:comment w:id="1" w:author="微笑未来" w:date="2026-04-28T15:10:00Z" w:initials="">
    <w:p w14:paraId="79AADDE6" w14:textId="77777777" w:rsidR="00D272D6" w:rsidRDefault="00C602F4">
      <w:pPr>
        <w:pStyle w:val="a3"/>
      </w:pPr>
      <w:r>
        <w:rPr>
          <w:rStyle w:val="af3"/>
        </w:rPr>
        <w:annotationRef/>
      </w:r>
      <w:r>
        <w:rPr>
          <w:rFonts w:hint="eastAsia"/>
        </w:rPr>
        <w:t>此处评阅教师添加红色字的成绩</w:t>
      </w:r>
    </w:p>
  </w:comment>
  <w:comment w:id="2" w:author="Green" w:date="2020-10-24T20:30:00Z" w:initials="g">
    <w:p w14:paraId="2B0FC2C8" w14:textId="77777777" w:rsidR="00D272D6" w:rsidRDefault="00C602F4">
      <w:pPr>
        <w:pStyle w:val="a3"/>
      </w:pPr>
      <w:r>
        <w:rPr>
          <w:rStyle w:val="af3"/>
        </w:rPr>
        <w:annotationRef/>
      </w:r>
      <w:r>
        <w:rPr>
          <w:rFonts w:hint="eastAsia"/>
          <w:lang w:eastAsia="zh-Hans"/>
        </w:rPr>
        <w:t>写教师名字，后面不用写教师职称</w:t>
      </w:r>
    </w:p>
  </w:comment>
  <w:comment w:id="3" w:author="Green" w:date="2020-10-22T23:52:00Z" w:initials="g">
    <w:p w14:paraId="16B040CF" w14:textId="77777777" w:rsidR="00D272D6" w:rsidRDefault="00C602F4">
      <w:pPr>
        <w:ind w:firstLineChars="200" w:firstLine="420"/>
      </w:pPr>
      <w:r>
        <w:rPr>
          <w:rStyle w:val="af3"/>
        </w:rPr>
        <w:annotationRef/>
      </w:r>
      <w:r>
        <w:rPr>
          <w:rFonts w:ascii="宋体" w:hAnsi="宋体" w:hint="eastAsia"/>
          <w:color w:val="000000"/>
          <w:szCs w:val="21"/>
        </w:rPr>
        <w:t>居中</w:t>
      </w:r>
      <w:r>
        <w:rPr>
          <w:rFonts w:ascii="宋体" w:hAnsi="宋体" w:hint="eastAsia"/>
          <w:color w:val="000000"/>
          <w:szCs w:val="21"/>
          <w:lang w:eastAsia="zh-Hans"/>
        </w:rPr>
        <w:t>、</w:t>
      </w:r>
      <w:r>
        <w:rPr>
          <w:rFonts w:ascii="宋体" w:hAnsi="宋体" w:hint="eastAsia"/>
          <w:b/>
          <w:bCs/>
          <w:color w:val="000000"/>
          <w:szCs w:val="21"/>
        </w:rPr>
        <w:t>黑体</w:t>
      </w:r>
      <w:r>
        <w:rPr>
          <w:rFonts w:ascii="宋体" w:hAnsi="宋体" w:hint="eastAsia"/>
          <w:b/>
          <w:bCs/>
          <w:color w:val="000000"/>
          <w:szCs w:val="21"/>
          <w:lang w:eastAsia="zh-Hans"/>
        </w:rPr>
        <w:t>小二号</w:t>
      </w:r>
      <w:r>
        <w:rPr>
          <w:rFonts w:ascii="宋体" w:hAnsi="宋体" w:hint="eastAsia"/>
          <w:b/>
          <w:bCs/>
          <w:color w:val="000000"/>
          <w:szCs w:val="21"/>
        </w:rPr>
        <w:t>加粗</w:t>
      </w:r>
      <w:r>
        <w:rPr>
          <w:rFonts w:ascii="宋体" w:hAnsi="宋体" w:hint="eastAsia"/>
          <w:color w:val="000000"/>
          <w:szCs w:val="21"/>
        </w:rPr>
        <w:t>。</w:t>
      </w:r>
    </w:p>
  </w:comment>
  <w:comment w:id="4" w:author="Green" w:date="2020-10-22T23:53:00Z" w:initials="g">
    <w:p w14:paraId="02B309FD" w14:textId="77777777" w:rsidR="00D272D6" w:rsidRDefault="00C602F4">
      <w:pPr>
        <w:ind w:firstLineChars="200" w:firstLine="420"/>
        <w:rPr>
          <w:rFonts w:ascii="宋体" w:hAnsi="宋体" w:hint="eastAsia"/>
          <w:color w:val="000000"/>
          <w:szCs w:val="21"/>
        </w:rPr>
      </w:pPr>
      <w:r>
        <w:rPr>
          <w:rStyle w:val="af3"/>
        </w:rPr>
        <w:annotationRef/>
      </w:r>
      <w:r>
        <w:rPr>
          <w:rFonts w:ascii="宋体" w:hAnsi="宋体" w:hint="eastAsia"/>
          <w:color w:val="000000"/>
          <w:szCs w:val="21"/>
          <w:lang w:eastAsia="zh-Hans"/>
        </w:rPr>
        <w:t>摘要</w:t>
      </w:r>
      <w:r>
        <w:rPr>
          <w:rFonts w:ascii="宋体" w:hAnsi="宋体" w:hint="eastAsia"/>
          <w:color w:val="000000"/>
          <w:szCs w:val="21"/>
        </w:rPr>
        <w:t>内容</w:t>
      </w:r>
      <w:r>
        <w:rPr>
          <w:rFonts w:ascii="宋体" w:hAnsi="宋体" w:hint="eastAsia"/>
          <w:color w:val="000000"/>
          <w:szCs w:val="21"/>
          <w:lang w:eastAsia="zh-Hans"/>
        </w:rPr>
        <w:t>格式：</w:t>
      </w:r>
      <w:r>
        <w:rPr>
          <w:rFonts w:ascii="宋体" w:hAnsi="宋体" w:hint="eastAsia"/>
          <w:b/>
          <w:bCs/>
          <w:color w:val="000000"/>
          <w:szCs w:val="21"/>
        </w:rPr>
        <w:t>小四号宋体</w:t>
      </w:r>
      <w:r>
        <w:rPr>
          <w:rFonts w:ascii="宋体" w:hAnsi="宋体" w:hint="eastAsia"/>
          <w:color w:val="000000"/>
          <w:szCs w:val="21"/>
        </w:rPr>
        <w:t>字。</w:t>
      </w:r>
    </w:p>
    <w:p w14:paraId="2992D8A6" w14:textId="77777777" w:rsidR="00D272D6" w:rsidRDefault="00000000">
      <w:pPr>
        <w:ind w:firstLineChars="200" w:firstLine="480"/>
        <w:rPr>
          <w:rFonts w:ascii="宋体" w:hAnsi="宋体" w:hint="eastAsia"/>
          <w:color w:val="000000"/>
          <w:szCs w:val="21"/>
        </w:rPr>
      </w:pPr>
      <w:r>
        <w:rPr>
          <w:rFonts w:ascii="宋体" w:hAnsi="宋体" w:hint="eastAsia"/>
          <w:color w:val="000000"/>
          <w:szCs w:val="21"/>
        </w:rPr>
        <w:t>起行空</w:t>
      </w:r>
      <w:r>
        <w:rPr>
          <w:rFonts w:ascii="宋体" w:hAnsi="宋体" w:hint="eastAsia"/>
          <w:color w:val="000000"/>
          <w:szCs w:val="21"/>
          <w:lang w:eastAsia="zh-Hans"/>
        </w:rPr>
        <w:t>两字符</w:t>
      </w:r>
      <w:r>
        <w:rPr>
          <w:rFonts w:ascii="宋体" w:hAnsi="宋体" w:hint="eastAsia"/>
          <w:color w:val="000000"/>
          <w:szCs w:val="21"/>
        </w:rPr>
        <w:t>，回行顶格。</w:t>
      </w:r>
    </w:p>
    <w:p w14:paraId="018E1275" w14:textId="77777777" w:rsidR="00D272D6" w:rsidRDefault="00D272D6">
      <w:pPr>
        <w:ind w:firstLineChars="200" w:firstLine="480"/>
      </w:pPr>
    </w:p>
    <w:p w14:paraId="4266B4D2" w14:textId="77777777" w:rsidR="00D272D6" w:rsidRDefault="00000000">
      <w:pPr>
        <w:ind w:firstLineChars="200" w:firstLine="480"/>
        <w:rPr>
          <w:rFonts w:ascii="宋体" w:hAnsi="宋体" w:hint="eastAsia"/>
        </w:rPr>
      </w:pPr>
      <w:r>
        <w:rPr>
          <w:rFonts w:ascii="宋体" w:hAnsi="宋体" w:hint="eastAsia"/>
        </w:rPr>
        <w:t>用</w:t>
      </w:r>
      <w:r>
        <w:rPr>
          <w:rFonts w:ascii="宋体" w:hAnsi="宋体" w:hint="eastAsia"/>
          <w:b/>
        </w:rPr>
        <w:t>200－300字</w:t>
      </w:r>
      <w:r>
        <w:rPr>
          <w:rFonts w:ascii="宋体" w:hAnsi="宋体" w:hint="eastAsia"/>
        </w:rPr>
        <w:t>扼要</w:t>
      </w:r>
      <w:r>
        <w:rPr>
          <w:rFonts w:ascii="宋体" w:hAnsi="宋体" w:hint="eastAsia"/>
          <w:b/>
        </w:rPr>
        <w:t>介绍本论文（设计）的内容、采取的方法和得到的主要结果</w:t>
      </w:r>
      <w:r>
        <w:rPr>
          <w:rFonts w:ascii="宋体" w:hAnsi="宋体" w:hint="eastAsia"/>
        </w:rPr>
        <w:t>。论文（设计）摘要本身应该是一个对科学实践内容、方法和结果的完整的概括说明。</w:t>
      </w:r>
    </w:p>
    <w:p w14:paraId="7933BD78" w14:textId="77777777" w:rsidR="00D272D6" w:rsidRDefault="00000000">
      <w:pPr>
        <w:ind w:firstLineChars="200" w:firstLine="480"/>
      </w:pPr>
      <w:r>
        <w:rPr>
          <w:rFonts w:ascii="宋体" w:hAnsi="宋体" w:hint="eastAsia"/>
        </w:rPr>
        <w:t>摘要不能写成引言或者前言，摘要中不应有所引用的参考文献出现，不要有第一人称的语句出现。</w:t>
      </w:r>
    </w:p>
  </w:comment>
  <w:comment w:id="5" w:author="Green" w:date="2020-10-22T23:56:00Z" w:initials="g">
    <w:p w14:paraId="50F8A073" w14:textId="77777777" w:rsidR="00D272D6" w:rsidRDefault="00C602F4">
      <w:pPr>
        <w:pStyle w:val="ac"/>
        <w:spacing w:before="0" w:beforeAutospacing="0" w:after="0" w:afterAutospacing="0" w:line="340" w:lineRule="exact"/>
        <w:ind w:firstLineChars="200" w:firstLine="420"/>
        <w:rPr>
          <w:rFonts w:hint="eastAsia"/>
          <w:szCs w:val="21"/>
          <w:lang w:eastAsia="zh-Hans"/>
        </w:rPr>
      </w:pPr>
      <w:r>
        <w:rPr>
          <w:rStyle w:val="af3"/>
          <w:rFonts w:hint="eastAsia"/>
        </w:rPr>
        <w:annotationRef/>
      </w:r>
      <w:r>
        <w:rPr>
          <w:rFonts w:hint="eastAsia"/>
          <w:szCs w:val="21"/>
        </w:rPr>
        <w:t>关键词：中文摘要后换行</w:t>
      </w:r>
      <w:r>
        <w:rPr>
          <w:rFonts w:hint="eastAsia"/>
          <w:szCs w:val="21"/>
          <w:lang w:eastAsia="zh-Hans"/>
        </w:rPr>
        <w:t>写（不需空多行）</w:t>
      </w:r>
      <w:r>
        <w:rPr>
          <w:rFonts w:hint="eastAsia"/>
          <w:szCs w:val="21"/>
        </w:rPr>
        <w:t>，首行空两</w:t>
      </w:r>
      <w:r>
        <w:rPr>
          <w:rFonts w:hint="eastAsia"/>
          <w:szCs w:val="21"/>
          <w:lang w:eastAsia="zh-Hans"/>
        </w:rPr>
        <w:t>字符</w:t>
      </w:r>
      <w:r>
        <w:rPr>
          <w:rFonts w:hint="eastAsia"/>
          <w:szCs w:val="21"/>
        </w:rPr>
        <w:t>，“关键词”</w:t>
      </w:r>
      <w:r>
        <w:rPr>
          <w:rFonts w:hint="eastAsia"/>
          <w:b/>
          <w:bCs/>
          <w:szCs w:val="21"/>
          <w:lang w:eastAsia="zh-Hans"/>
        </w:rPr>
        <w:t>小四号宋体</w:t>
      </w:r>
      <w:r>
        <w:rPr>
          <w:rFonts w:hint="eastAsia"/>
          <w:b/>
          <w:bCs/>
          <w:szCs w:val="21"/>
        </w:rPr>
        <w:t>加粗</w:t>
      </w:r>
      <w:r>
        <w:rPr>
          <w:rFonts w:hint="eastAsia"/>
          <w:szCs w:val="21"/>
        </w:rPr>
        <w:t>，后加冒号</w:t>
      </w:r>
      <w:r>
        <w:rPr>
          <w:rFonts w:hint="eastAsia"/>
          <w:szCs w:val="21"/>
          <w:lang w:eastAsia="zh-Hans"/>
        </w:rPr>
        <w:t>。</w:t>
      </w:r>
    </w:p>
    <w:p w14:paraId="6D303F5B" w14:textId="77777777" w:rsidR="00D272D6" w:rsidRDefault="00000000">
      <w:pPr>
        <w:spacing w:line="300" w:lineRule="auto"/>
        <w:ind w:firstLine="420"/>
        <w:rPr>
          <w:rFonts w:ascii="宋体" w:hAnsi="宋体" w:hint="eastAsia"/>
          <w:sz w:val="28"/>
          <w:szCs w:val="28"/>
        </w:rPr>
      </w:pPr>
      <w:r>
        <w:rPr>
          <w:rFonts w:hint="eastAsia"/>
          <w:szCs w:val="21"/>
        </w:rPr>
        <w:t>各关键词之间</w:t>
      </w:r>
      <w:r>
        <w:rPr>
          <w:rFonts w:ascii="宋体" w:hAnsi="宋体" w:hint="eastAsia"/>
          <w:sz w:val="28"/>
          <w:szCs w:val="28"/>
        </w:rPr>
        <w:t>用分号“；”（全角）</w:t>
      </w:r>
      <w:r>
        <w:rPr>
          <w:rFonts w:ascii="宋体" w:hAnsi="宋体" w:hint="eastAsia"/>
          <w:sz w:val="28"/>
          <w:szCs w:val="28"/>
          <w:lang w:eastAsia="zh-Hans"/>
        </w:rPr>
        <w:t>隔开</w:t>
      </w:r>
      <w:r>
        <w:rPr>
          <w:rFonts w:ascii="宋体" w:hAnsi="宋体" w:hint="eastAsia"/>
          <w:sz w:val="28"/>
          <w:szCs w:val="28"/>
        </w:rPr>
        <w:t>。</w:t>
      </w:r>
    </w:p>
    <w:p w14:paraId="6EFB6F41" w14:textId="77777777" w:rsidR="00D272D6" w:rsidRDefault="00000000">
      <w:pPr>
        <w:pStyle w:val="ac"/>
        <w:spacing w:before="0" w:beforeAutospacing="0" w:after="0" w:afterAutospacing="0" w:line="340" w:lineRule="exact"/>
        <w:ind w:firstLineChars="200" w:firstLine="480"/>
        <w:rPr>
          <w:rFonts w:hint="eastAsia"/>
          <w:szCs w:val="21"/>
        </w:rPr>
      </w:pPr>
      <w:r>
        <w:rPr>
          <w:rFonts w:hint="eastAsia"/>
          <w:szCs w:val="21"/>
        </w:rPr>
        <w:t>关键词一般在</w:t>
      </w:r>
      <w:r>
        <w:rPr>
          <w:szCs w:val="21"/>
        </w:rPr>
        <w:t>3</w:t>
      </w:r>
      <w:r>
        <w:rPr>
          <w:rFonts w:hint="eastAsia"/>
          <w:szCs w:val="21"/>
        </w:rPr>
        <w:t>—</w:t>
      </w:r>
      <w:r>
        <w:rPr>
          <w:szCs w:val="21"/>
        </w:rPr>
        <w:t>5</w:t>
      </w:r>
      <w:r>
        <w:rPr>
          <w:rFonts w:hint="eastAsia"/>
          <w:szCs w:val="21"/>
        </w:rPr>
        <w:t>个之间，用</w:t>
      </w:r>
      <w:r>
        <w:rPr>
          <w:rFonts w:hint="eastAsia"/>
          <w:b/>
          <w:bCs/>
          <w:szCs w:val="21"/>
        </w:rPr>
        <w:t>小四号宋体字</w:t>
      </w:r>
      <w:r>
        <w:rPr>
          <w:rFonts w:hint="eastAsia"/>
          <w:szCs w:val="21"/>
        </w:rPr>
        <w:t>。</w:t>
      </w:r>
    </w:p>
    <w:p w14:paraId="3EE811B7" w14:textId="77777777" w:rsidR="00D272D6" w:rsidRDefault="00D272D6">
      <w:pPr>
        <w:pStyle w:val="a3"/>
      </w:pPr>
    </w:p>
  </w:comment>
  <w:comment w:id="31" w:author="Green" w:date="2020-10-24T20:19:00Z" w:initials="g">
    <w:p w14:paraId="68E0DEB4" w14:textId="77777777" w:rsidR="00D272D6" w:rsidRDefault="00C602F4">
      <w:pPr>
        <w:pStyle w:val="a3"/>
        <w:numPr>
          <w:ilvl w:val="0"/>
          <w:numId w:val="1"/>
        </w:numPr>
        <w:rPr>
          <w:lang w:eastAsia="zh-Hans"/>
        </w:rPr>
      </w:pPr>
      <w:r>
        <w:rPr>
          <w:rStyle w:val="af3"/>
        </w:rPr>
        <w:annotationRef/>
      </w:r>
      <w:r>
        <w:rPr>
          <w:rFonts w:hint="eastAsia"/>
          <w:lang w:eastAsia="zh-Hans"/>
        </w:rPr>
        <w:t>论文查重报告页，只需提供论文查重报告的</w:t>
      </w:r>
      <w:r>
        <w:rPr>
          <w:rFonts w:hint="eastAsia"/>
          <w:b/>
          <w:bCs/>
          <w:lang w:eastAsia="zh-Hans"/>
        </w:rPr>
        <w:t>简洁版</w:t>
      </w:r>
      <w:r>
        <w:rPr>
          <w:rFonts w:hint="eastAsia"/>
          <w:lang w:eastAsia="zh-Hans"/>
        </w:rPr>
        <w:t>首页，截图居中粘贴在下方；</w:t>
      </w:r>
    </w:p>
    <w:p w14:paraId="15CC946E" w14:textId="77777777" w:rsidR="00D272D6" w:rsidRDefault="00000000">
      <w:pPr>
        <w:pStyle w:val="a3"/>
        <w:numPr>
          <w:ilvl w:val="0"/>
          <w:numId w:val="1"/>
        </w:numPr>
        <w:rPr>
          <w:lang w:eastAsia="zh-Hans"/>
        </w:rPr>
      </w:pPr>
      <w:r>
        <w:rPr>
          <w:rFonts w:hint="eastAsia"/>
          <w:lang w:eastAsia="zh-Hans"/>
        </w:rPr>
        <w:t>查重报告中应有文献名字和作者名字、重复率、总字数等数据。</w:t>
      </w:r>
    </w:p>
    <w:p w14:paraId="64670F29" w14:textId="77777777" w:rsidR="00D272D6" w:rsidRDefault="00000000">
      <w:pPr>
        <w:pStyle w:val="a3"/>
        <w:rPr>
          <w:lang w:eastAsia="zh-Hans"/>
        </w:rPr>
      </w:pPr>
      <w:r>
        <w:rPr>
          <w:lang w:eastAsia="zh-Hans"/>
        </w:rPr>
        <w:t>3.</w:t>
      </w:r>
      <w:r>
        <w:rPr>
          <w:rFonts w:hint="eastAsia"/>
          <w:lang w:eastAsia="zh-Hans"/>
        </w:rPr>
        <w:t>查重报告可使用维普查重，但不仅限用维普查重。</w:t>
      </w:r>
    </w:p>
  </w:comment>
  <w:comment w:id="32" w:author="Green" w:date="2020-10-24T20:16:00Z" w:initials="g">
    <w:p w14:paraId="60BD7182" w14:textId="77777777" w:rsidR="00D272D6" w:rsidRDefault="00C602F4">
      <w:pPr>
        <w:pStyle w:val="a3"/>
        <w:rPr>
          <w:rFonts w:eastAsia="Times New Roman"/>
          <w:lang w:eastAsia="zh-Hans"/>
        </w:rPr>
      </w:pPr>
      <w:r>
        <w:rPr>
          <w:rStyle w:val="af3"/>
        </w:rPr>
        <w:annotationRef/>
      </w:r>
      <w:r>
        <w:rPr>
          <w:rFonts w:hint="eastAsia"/>
          <w:lang w:eastAsia="zh-Hans"/>
        </w:rPr>
        <w:t>每门课程的“评价项目”、“评价内容”、“分值”应该一致。</w:t>
      </w:r>
      <w:r>
        <w:rPr>
          <w:rFonts w:hint="eastAsia"/>
        </w:rPr>
        <w:t>此三列的具体内容仅为模板参考，各门课程可以不同。</w:t>
      </w:r>
      <w:r>
        <w:rPr>
          <w:rFonts w:hint="eastAsia"/>
          <w:lang w:eastAsia="zh-Hans"/>
        </w:rPr>
        <w:t>这三列应由</w:t>
      </w:r>
      <w:r>
        <w:rPr>
          <w:rFonts w:hint="eastAsia"/>
        </w:rPr>
        <w:t>科任</w:t>
      </w:r>
      <w:r>
        <w:rPr>
          <w:rFonts w:hint="eastAsia"/>
          <w:lang w:eastAsia="zh-Hans"/>
        </w:rPr>
        <w:t>老师填好内容，才发模板给学生打印此页。</w:t>
      </w:r>
    </w:p>
  </w:comment>
  <w:comment w:id="33" w:author="Green" w:date="2020-10-24T20:15:00Z" w:initials="g">
    <w:p w14:paraId="5EB86B5B" w14:textId="77777777" w:rsidR="00D272D6" w:rsidRDefault="00C602F4">
      <w:pPr>
        <w:pStyle w:val="a3"/>
      </w:pPr>
      <w:r>
        <w:rPr>
          <w:rStyle w:val="af3"/>
        </w:rPr>
        <w:annotationRef/>
      </w:r>
      <w:r>
        <w:rPr>
          <w:rFonts w:hint="eastAsia"/>
          <w:color w:val="FF0000"/>
        </w:rPr>
        <w:t>红色</w:t>
      </w:r>
      <w:r>
        <w:rPr>
          <w:rFonts w:hint="eastAsia"/>
          <w:color w:val="FF0000"/>
          <w:lang w:eastAsia="zh-Hans"/>
        </w:rPr>
        <w:t>笔</w:t>
      </w:r>
      <w:r>
        <w:rPr>
          <w:rFonts w:hint="eastAsia"/>
          <w:lang w:eastAsia="zh-Hans"/>
        </w:rPr>
        <w:t>手写</w:t>
      </w:r>
      <w:r>
        <w:rPr>
          <w:rFonts w:hint="eastAsia"/>
        </w:rPr>
        <w:t>分数</w:t>
      </w:r>
    </w:p>
  </w:comment>
  <w:comment w:id="34" w:author="Green" w:date="2020-10-24T20:15:00Z" w:initials="g">
    <w:p w14:paraId="63FB67CF" w14:textId="77777777" w:rsidR="00D272D6" w:rsidRDefault="00C602F4">
      <w:pPr>
        <w:pStyle w:val="a3"/>
        <w:rPr>
          <w:rFonts w:eastAsia="Times New Roman"/>
          <w:lang w:eastAsia="zh-Hans"/>
        </w:rPr>
      </w:pPr>
      <w:r>
        <w:rPr>
          <w:rStyle w:val="af3"/>
        </w:rPr>
        <w:annotationRef/>
      </w:r>
      <w:r>
        <w:rPr>
          <w:rFonts w:hint="eastAsia"/>
          <w:color w:val="FF0000"/>
        </w:rPr>
        <w:t>红色</w:t>
      </w:r>
      <w:r>
        <w:rPr>
          <w:rFonts w:hint="eastAsia"/>
          <w:color w:val="FF0000"/>
          <w:lang w:eastAsia="zh-Hans"/>
        </w:rPr>
        <w:t>笔</w:t>
      </w:r>
      <w:r>
        <w:rPr>
          <w:rFonts w:hint="eastAsia"/>
          <w:lang w:eastAsia="zh-Hans"/>
        </w:rPr>
        <w:t>手写，得分合计需和封面的成绩一致</w:t>
      </w:r>
    </w:p>
  </w:comment>
  <w:comment w:id="35" w:author="Green" w:date="2020-10-24T20:15:00Z" w:initials="g">
    <w:p w14:paraId="3ECA63AA" w14:textId="77777777" w:rsidR="00D272D6" w:rsidRDefault="00C602F4">
      <w:pPr>
        <w:pStyle w:val="a3"/>
        <w:rPr>
          <w:rFonts w:eastAsia="Times New Roman"/>
          <w:lang w:eastAsia="zh-Hans"/>
        </w:rPr>
      </w:pPr>
      <w:r>
        <w:rPr>
          <w:rStyle w:val="af3"/>
        </w:rPr>
        <w:annotationRef/>
      </w:r>
      <w:r>
        <w:rPr>
          <w:rFonts w:hint="eastAsia"/>
          <w:color w:val="FF0000"/>
        </w:rPr>
        <w:t>红色</w:t>
      </w:r>
      <w:r>
        <w:rPr>
          <w:rFonts w:hint="eastAsia"/>
          <w:color w:val="FF0000"/>
          <w:lang w:eastAsia="zh-Hans"/>
        </w:rPr>
        <w:t>笔</w:t>
      </w:r>
      <w:r>
        <w:rPr>
          <w:rFonts w:hint="eastAsia"/>
          <w:lang w:eastAsia="zh-Hans"/>
        </w:rPr>
        <w:t>手写签名和日期</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CB3620" w15:done="0"/>
  <w15:commentEx w15:paraId="79AADDE6" w15:done="0"/>
  <w15:commentEx w15:paraId="2B0FC2C8" w15:done="0"/>
  <w15:commentEx w15:paraId="16B040CF" w15:done="0"/>
  <w15:commentEx w15:paraId="7933BD78" w15:done="0"/>
  <w15:commentEx w15:paraId="3EE811B7" w15:done="0"/>
  <w15:commentEx w15:paraId="64670F29" w15:done="0"/>
  <w15:commentEx w15:paraId="60BD7182" w15:done="0"/>
  <w15:commentEx w15:paraId="5EB86B5B" w15:done="0"/>
  <w15:commentEx w15:paraId="63FB67CF" w15:done="0"/>
  <w15:commentEx w15:paraId="3ECA63A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CB3620" w16cid:durableId="00000001"/>
  <w16cid:commentId w16cid:paraId="79AADDE6" w16cid:durableId="4B1FE4FC"/>
  <w16cid:commentId w16cid:paraId="2B0FC2C8" w16cid:durableId="1423F02A"/>
  <w16cid:commentId w16cid:paraId="16B040CF" w16cid:durableId="00000008"/>
  <w16cid:commentId w16cid:paraId="7933BD78" w16cid:durableId="40CB9190"/>
  <w16cid:commentId w16cid:paraId="3EE811B7" w16cid:durableId="0000000A"/>
  <w16cid:commentId w16cid:paraId="64670F29" w16cid:durableId="00000013"/>
  <w16cid:commentId w16cid:paraId="60BD7182" w16cid:durableId="00000014"/>
  <w16cid:commentId w16cid:paraId="5EB86B5B" w16cid:durableId="31ECA377"/>
  <w16cid:commentId w16cid:paraId="63FB67CF" w16cid:durableId="1CFDC54C"/>
  <w16cid:commentId w16cid:paraId="3ECA63AA" w16cid:durableId="43616CF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898D7" w14:textId="77777777" w:rsidR="00CB24C5" w:rsidRDefault="00CB24C5">
      <w:pPr>
        <w:rPr>
          <w:sz w:val="18"/>
        </w:rPr>
      </w:pPr>
    </w:p>
  </w:endnote>
  <w:endnote w:type="continuationSeparator" w:id="0">
    <w:p w14:paraId="6B954170" w14:textId="77777777" w:rsidR="00CB24C5" w:rsidRDefault="00CB24C5">
      <w:pPr>
        <w:rPr>
          <w:sz w:val="18"/>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仿宋_GB2312">
    <w:altName w:val="仿宋"/>
    <w:charset w:val="86"/>
    <w:family w:val="modern"/>
    <w:pitch w:val="default"/>
    <w:sig w:usb0="00000001" w:usb1="080E0000" w:usb2="00000000" w:usb3="00000000" w:csb0="00040000" w:csb1="00000000"/>
  </w:font>
  <w:font w:name="楷体_GB2312">
    <w:altName w:val="楷体"/>
    <w:charset w:val="86"/>
    <w:family w:val="modern"/>
    <w:pitch w:val="default"/>
    <w:sig w:usb0="00000001" w:usb1="080E0000" w:usb2="00000000" w:usb3="00000000" w:csb0="00040000" w:csb1="00000000"/>
  </w:font>
  <w:font w:name="Songti SC Bold">
    <w:altName w:val="宋体"/>
    <w:charset w:val="86"/>
    <w:family w:val="auto"/>
    <w:pitch w:val="default"/>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Heiti SC Medium">
    <w:altName w:val="Yu Gothic"/>
    <w:charset w:val="80"/>
    <w:family w:val="auto"/>
    <w:pitch w:val="default"/>
    <w:sig w:usb0="8000002F" w:usb1="0807004A" w:usb2="00000010" w:usb3="00000000" w:csb0="003E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BA2AF" w14:textId="77777777" w:rsidR="00D272D6" w:rsidRDefault="00D272D6">
    <w:pPr>
      <w:pStyle w:val="a8"/>
      <w:jc w:val="center"/>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B8CA5" w14:textId="11D179E6" w:rsidR="00D272D6" w:rsidRDefault="00C65447">
    <w:pPr>
      <w:pStyle w:val="a8"/>
      <w:jc w:val="center"/>
      <w:rPr>
        <w:sz w:val="20"/>
        <w:szCs w:val="20"/>
      </w:rPr>
    </w:pPr>
    <w:r>
      <w:rPr>
        <w:noProof/>
        <w:sz w:val="20"/>
      </w:rPr>
      <mc:AlternateContent>
        <mc:Choice Requires="wps">
          <w:drawing>
            <wp:anchor distT="0" distB="0" distL="114300" distR="114300" simplePos="0" relativeHeight="251658240" behindDoc="0" locked="0" layoutInCell="1" allowOverlap="1" wp14:anchorId="2FA25BB5" wp14:editId="3A66B8EF">
              <wp:simplePos x="0" y="0"/>
              <wp:positionH relativeFrom="margin">
                <wp:align>center</wp:align>
              </wp:positionH>
              <wp:positionV relativeFrom="paragraph">
                <wp:posOffset>0</wp:posOffset>
              </wp:positionV>
              <wp:extent cx="38100" cy="131445"/>
              <wp:effectExtent l="0" t="0" r="0" b="1905"/>
              <wp:wrapNone/>
              <wp:docPr id="725716251"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310475" w14:textId="77777777" w:rsidR="00D272D6" w:rsidRDefault="00000000">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FA25BB5" id="_x0000_t202" coordsize="21600,21600" o:spt="202" path="m,l,21600r21600,l21600,xe">
              <v:stroke joinstyle="miter"/>
              <v:path gradientshapeok="t" o:connecttype="rect"/>
            </v:shapetype>
            <v:shape id="文本框 5" o:spid="_x0000_s1026" type="#_x0000_t202" style="position:absolute;left:0;text-align:left;margin-left:0;margin-top:0;width:3pt;height:10.35pt;z-index:2516582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" filled="f" stroked="f">
              <v:textbox style="mso-fit-shape-to-text:t" inset="0,0,0,0">
                <w:txbxContent>
                  <w:p w14:paraId="0D310475" w14:textId="77777777" w:rsidR="00D272D6" w:rsidRDefault="00000000">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AFB14" w14:textId="77777777" w:rsidR="00D272D6" w:rsidRDefault="00D272D6">
    <w:pPr>
      <w:pStyle w:val="a8"/>
      <w:jc w:val="center"/>
      <w:rPr>
        <w:rFonts w:ascii="宋体" w:hAnsi="宋体" w:hint="eastAsia"/>
        <w:sz w:val="21"/>
        <w:szCs w:val="21"/>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69BDE" w14:textId="7ACFD154" w:rsidR="00D272D6" w:rsidRDefault="00C65447">
    <w:pPr>
      <w:pStyle w:val="a8"/>
      <w:jc w:val="center"/>
      <w:rPr>
        <w:rFonts w:ascii="宋体" w:hAnsi="宋体" w:hint="eastAsia"/>
        <w:sz w:val="21"/>
        <w:szCs w:val="21"/>
      </w:rPr>
    </w:pPr>
    <w:r>
      <w:rPr>
        <w:noProof/>
        <w:sz w:val="21"/>
      </w:rPr>
      <mc:AlternateContent>
        <mc:Choice Requires="wps">
          <w:drawing>
            <wp:anchor distT="0" distB="0" distL="114300" distR="114300" simplePos="0" relativeHeight="251657216" behindDoc="0" locked="0" layoutInCell="1" allowOverlap="1" wp14:anchorId="02A4F3FE" wp14:editId="6B38BDA2">
              <wp:simplePos x="0" y="0"/>
              <wp:positionH relativeFrom="margin">
                <wp:align>center</wp:align>
              </wp:positionH>
              <wp:positionV relativeFrom="paragraph">
                <wp:posOffset>0</wp:posOffset>
              </wp:positionV>
              <wp:extent cx="76835" cy="222885"/>
              <wp:effectExtent l="0" t="0" r="1905" b="0"/>
              <wp:wrapNone/>
              <wp:docPr id="2117674437"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835" cy="222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B15CC" w14:textId="77777777" w:rsidR="00D272D6" w:rsidRDefault="00000000">
                          <w:pPr>
                            <w:snapToGrid w:val="0"/>
                            <w:rPr>
                              <w:sz w:val="18"/>
                            </w:rPr>
                          </w:pPr>
                          <w:r>
                            <w:rPr>
                              <w:rFonts w:ascii="Heiti SC Medium" w:eastAsia="Heiti SC Medium" w:hAnsi="Heiti SC Medium" w:cs="Heiti SC Medium" w:hint="eastAsia"/>
                              <w:b/>
                              <w:bCs/>
                              <w:sz w:val="21"/>
                              <w:szCs w:val="32"/>
                            </w:rPr>
                            <w:fldChar w:fldCharType="begin"/>
                          </w:r>
                          <w:r>
                            <w:rPr>
                              <w:rFonts w:ascii="Heiti SC Medium" w:eastAsia="Heiti SC Medium" w:hAnsi="Heiti SC Medium" w:cs="Heiti SC Medium" w:hint="eastAsia"/>
                              <w:b/>
                              <w:bCs/>
                              <w:sz w:val="21"/>
                              <w:szCs w:val="32"/>
                            </w:rPr>
                            <w:instrText xml:space="preserve"> PAGE  \* MERGEFORMAT </w:instrText>
                          </w:r>
                          <w:r>
                            <w:rPr>
                              <w:rFonts w:ascii="Heiti SC Medium" w:eastAsia="Heiti SC Medium" w:hAnsi="Heiti SC Medium" w:cs="Heiti SC Medium" w:hint="eastAsia"/>
                              <w:b/>
                              <w:bCs/>
                              <w:sz w:val="21"/>
                              <w:szCs w:val="32"/>
                            </w:rPr>
                            <w:fldChar w:fldCharType="separate"/>
                          </w:r>
                          <w:r>
                            <w:rPr>
                              <w:rFonts w:ascii="Heiti SC Medium" w:eastAsia="Heiti SC Medium" w:hAnsi="Heiti SC Medium" w:cs="Heiti SC Medium" w:hint="eastAsia"/>
                              <w:b/>
                              <w:bCs/>
                              <w:sz w:val="21"/>
                              <w:szCs w:val="32"/>
                            </w:rPr>
                            <w:t>2</w:t>
                          </w:r>
                          <w:r>
                            <w:rPr>
                              <w:rFonts w:ascii="Heiti SC Medium" w:eastAsia="Heiti SC Medium" w:hAnsi="Heiti SC Medium" w:cs="Heiti SC Medium" w:hint="eastAsia"/>
                              <w:b/>
                              <w:bCs/>
                              <w:sz w:val="21"/>
                              <w:szCs w:val="32"/>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2A4F3FE" id="_x0000_t202" coordsize="21600,21600" o:spt="202" path="m,l,21600r21600,l21600,xe">
              <v:stroke joinstyle="miter"/>
              <v:path gradientshapeok="t" o:connecttype="rect"/>
            </v:shapetype>
            <v:shape id="文本框 4" o:spid="_x0000_s1027" type="#_x0000_t202" style="position:absolute;left:0;text-align:left;margin-left:0;margin-top:0;width:6.05pt;height:17.55pt;z-index:25165721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" filled="f" stroked="f">
              <v:textbox style="mso-fit-shape-to-text:t" inset="0,0,0,0">
                <w:txbxContent>
                  <w:p w14:paraId="7C6B15CC" w14:textId="77777777" w:rsidR="00D272D6" w:rsidRDefault="00000000">
                    <w:pPr>
                      <w:snapToGrid w:val="0"/>
                      <w:rPr>
                        <w:sz w:val="18"/>
                      </w:rPr>
                    </w:pPr>
                    <w:r>
                      <w:rPr>
                        <w:rFonts w:ascii="Heiti SC Medium" w:eastAsia="Heiti SC Medium" w:hAnsi="Heiti SC Medium" w:cs="Heiti SC Medium" w:hint="eastAsia"/>
                        <w:b/>
                        <w:bCs/>
                        <w:sz w:val="21"/>
                        <w:szCs w:val="32"/>
                      </w:rPr>
                      <w:fldChar w:fldCharType="begin"/>
                    </w:r>
                    <w:r>
                      <w:rPr>
                        <w:rFonts w:ascii="Heiti SC Medium" w:eastAsia="Heiti SC Medium" w:hAnsi="Heiti SC Medium" w:cs="Heiti SC Medium" w:hint="eastAsia"/>
                        <w:b/>
                        <w:bCs/>
                        <w:sz w:val="21"/>
                        <w:szCs w:val="32"/>
                      </w:rPr>
                      <w:instrText xml:space="preserve"> PAGE  \* MERGEFORMAT </w:instrText>
                    </w:r>
                    <w:r>
                      <w:rPr>
                        <w:rFonts w:ascii="Heiti SC Medium" w:eastAsia="Heiti SC Medium" w:hAnsi="Heiti SC Medium" w:cs="Heiti SC Medium" w:hint="eastAsia"/>
                        <w:b/>
                        <w:bCs/>
                        <w:sz w:val="21"/>
                        <w:szCs w:val="32"/>
                      </w:rPr>
                      <w:fldChar w:fldCharType="separate"/>
                    </w:r>
                    <w:r>
                      <w:rPr>
                        <w:rFonts w:ascii="Heiti SC Medium" w:eastAsia="Heiti SC Medium" w:hAnsi="Heiti SC Medium" w:cs="Heiti SC Medium" w:hint="eastAsia"/>
                        <w:b/>
                        <w:bCs/>
                        <w:sz w:val="21"/>
                        <w:szCs w:val="32"/>
                      </w:rPr>
                      <w:t>2</w:t>
                    </w:r>
                    <w:r>
                      <w:rPr>
                        <w:rFonts w:ascii="Heiti SC Medium" w:eastAsia="Heiti SC Medium" w:hAnsi="Heiti SC Medium" w:cs="Heiti SC Medium" w:hint="eastAsia"/>
                        <w:b/>
                        <w:bCs/>
                        <w:sz w:val="21"/>
                        <w:szCs w:val="32"/>
                      </w:rP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D34AE" w14:textId="77777777" w:rsidR="00D272D6" w:rsidRDefault="00D272D6">
    <w:pPr>
      <w:pStyle w:val="a8"/>
      <w:jc w:val="center"/>
      <w:rPr>
        <w:rFonts w:ascii="宋体" w:hAnsi="宋体" w:hint="eastAsia"/>
        <w:sz w:val="21"/>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66FD2" w14:textId="77777777" w:rsidR="00CB24C5" w:rsidRDefault="00CB24C5">
      <w:pPr>
        <w:rPr>
          <w:sz w:val="18"/>
        </w:rPr>
      </w:pPr>
    </w:p>
  </w:footnote>
  <w:footnote w:type="continuationSeparator" w:id="0">
    <w:p w14:paraId="5D81B8DB" w14:textId="77777777" w:rsidR="00CB24C5" w:rsidRDefault="00CB24C5">
      <w:pPr>
        <w:rPr>
          <w:sz w:val="1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D42CF" w14:textId="77777777" w:rsidR="00D272D6" w:rsidRDefault="00000000">
    <w:pPr>
      <w:pStyle w:val="aa"/>
      <w:pBdr>
        <w:bottom w:val="single" w:sz="4" w:space="1" w:color="auto"/>
      </w:pBdr>
      <w:rPr>
        <w:rFonts w:eastAsia="Times New Roman"/>
        <w:sz w:val="21"/>
        <w:szCs w:val="21"/>
        <w:lang w:eastAsia="zh-Hans"/>
      </w:rPr>
    </w:pPr>
    <w:r>
      <w:rPr>
        <w:rFonts w:hint="eastAsia"/>
        <w:sz w:val="21"/>
        <w:szCs w:val="21"/>
        <w:lang w:eastAsia="zh-Hans"/>
      </w:rPr>
      <w:t>论文题目（宋体五号）</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00E79" w14:textId="77777777" w:rsidR="00D272D6" w:rsidRDefault="00D272D6">
    <w:pPr>
      <w:pStyle w:val="aa"/>
      <w:pBdr>
        <w:bottom w:val="none" w:sz="0"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9325FD"/>
    <w:multiLevelType w:val="singleLevel"/>
    <w:tmpl w:val="5F9325FD"/>
    <w:lvl w:ilvl="0">
      <w:start w:val="2"/>
      <w:numFmt w:val="decimal"/>
      <w:suff w:val="nothing"/>
      <w:lvlText w:val="%1."/>
      <w:lvlJc w:val="left"/>
    </w:lvl>
  </w:abstractNum>
  <w:abstractNum w:abstractNumId="1" w15:restartNumberingAfterBreak="0">
    <w:nsid w:val="5F943E66"/>
    <w:multiLevelType w:val="singleLevel"/>
    <w:tmpl w:val="5F943E66"/>
    <w:lvl w:ilvl="0">
      <w:start w:val="1"/>
      <w:numFmt w:val="decimal"/>
      <w:suff w:val="nothing"/>
      <w:lvlText w:val="%1."/>
      <w:lvlJc w:val="left"/>
    </w:lvl>
  </w:abstractNum>
  <w:num w:numId="1" w16cid:durableId="1030690302">
    <w:abstractNumId w:val="1"/>
  </w:num>
  <w:num w:numId="2" w16cid:durableId="1767655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66"/>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2RhOTk5NDViZDc1ZTBmYjQzMmUyYWFhMmFiYzY2NmMifQ=="/>
  </w:docVars>
  <w:rsids>
    <w:rsidRoot w:val="000C2587"/>
    <w:rsid w:val="0000290F"/>
    <w:rsid w:val="00007D02"/>
    <w:rsid w:val="000169F0"/>
    <w:rsid w:val="00057020"/>
    <w:rsid w:val="00076DCB"/>
    <w:rsid w:val="000A0E1C"/>
    <w:rsid w:val="000C2587"/>
    <w:rsid w:val="000E010F"/>
    <w:rsid w:val="0010312A"/>
    <w:rsid w:val="00103922"/>
    <w:rsid w:val="00106DD9"/>
    <w:rsid w:val="0011203B"/>
    <w:rsid w:val="00112EF5"/>
    <w:rsid w:val="00144AB9"/>
    <w:rsid w:val="001A5D45"/>
    <w:rsid w:val="001E3EE1"/>
    <w:rsid w:val="00270C0E"/>
    <w:rsid w:val="0027660D"/>
    <w:rsid w:val="002B0C11"/>
    <w:rsid w:val="00314396"/>
    <w:rsid w:val="00326F6C"/>
    <w:rsid w:val="00335F0D"/>
    <w:rsid w:val="00375083"/>
    <w:rsid w:val="003779B6"/>
    <w:rsid w:val="003B1E96"/>
    <w:rsid w:val="003B2BB8"/>
    <w:rsid w:val="004016CE"/>
    <w:rsid w:val="00420E42"/>
    <w:rsid w:val="00433F40"/>
    <w:rsid w:val="00462107"/>
    <w:rsid w:val="00476DBC"/>
    <w:rsid w:val="004A5713"/>
    <w:rsid w:val="004F4F36"/>
    <w:rsid w:val="00500B8D"/>
    <w:rsid w:val="0053285B"/>
    <w:rsid w:val="00546457"/>
    <w:rsid w:val="00555C7E"/>
    <w:rsid w:val="005636AC"/>
    <w:rsid w:val="00574394"/>
    <w:rsid w:val="005867A2"/>
    <w:rsid w:val="005A7C73"/>
    <w:rsid w:val="005B0792"/>
    <w:rsid w:val="005C453F"/>
    <w:rsid w:val="005E60E7"/>
    <w:rsid w:val="006162D7"/>
    <w:rsid w:val="00650C60"/>
    <w:rsid w:val="00690944"/>
    <w:rsid w:val="006A3201"/>
    <w:rsid w:val="006A5BC8"/>
    <w:rsid w:val="006D2E57"/>
    <w:rsid w:val="006E5A61"/>
    <w:rsid w:val="00705F3F"/>
    <w:rsid w:val="0070627B"/>
    <w:rsid w:val="00715C13"/>
    <w:rsid w:val="0071611D"/>
    <w:rsid w:val="0072367F"/>
    <w:rsid w:val="00726F42"/>
    <w:rsid w:val="00733B99"/>
    <w:rsid w:val="00735DEF"/>
    <w:rsid w:val="0074401D"/>
    <w:rsid w:val="00790EF2"/>
    <w:rsid w:val="00821F2C"/>
    <w:rsid w:val="00824B8B"/>
    <w:rsid w:val="00847248"/>
    <w:rsid w:val="00865621"/>
    <w:rsid w:val="00893BC3"/>
    <w:rsid w:val="008A79A1"/>
    <w:rsid w:val="008B0E23"/>
    <w:rsid w:val="00915B4E"/>
    <w:rsid w:val="00924EA6"/>
    <w:rsid w:val="009606E2"/>
    <w:rsid w:val="00965D91"/>
    <w:rsid w:val="0097793E"/>
    <w:rsid w:val="009A203A"/>
    <w:rsid w:val="009F7206"/>
    <w:rsid w:val="00A02F20"/>
    <w:rsid w:val="00A27FEF"/>
    <w:rsid w:val="00A30A38"/>
    <w:rsid w:val="00A40D9B"/>
    <w:rsid w:val="00AB516C"/>
    <w:rsid w:val="00AD7026"/>
    <w:rsid w:val="00AE1166"/>
    <w:rsid w:val="00B07F36"/>
    <w:rsid w:val="00B4187C"/>
    <w:rsid w:val="00B42EAE"/>
    <w:rsid w:val="00B606E3"/>
    <w:rsid w:val="00B74F71"/>
    <w:rsid w:val="00B9110C"/>
    <w:rsid w:val="00BA62A3"/>
    <w:rsid w:val="00C47844"/>
    <w:rsid w:val="00C54955"/>
    <w:rsid w:val="00C602F4"/>
    <w:rsid w:val="00C65447"/>
    <w:rsid w:val="00CA6E92"/>
    <w:rsid w:val="00CB24C5"/>
    <w:rsid w:val="00CC1CBE"/>
    <w:rsid w:val="00CC5F05"/>
    <w:rsid w:val="00CD1E67"/>
    <w:rsid w:val="00CF1BB3"/>
    <w:rsid w:val="00D026AE"/>
    <w:rsid w:val="00D272D6"/>
    <w:rsid w:val="00D554F8"/>
    <w:rsid w:val="00DA4A57"/>
    <w:rsid w:val="00DD5EE2"/>
    <w:rsid w:val="00DF6CE0"/>
    <w:rsid w:val="00E41971"/>
    <w:rsid w:val="00E446CB"/>
    <w:rsid w:val="00E610E3"/>
    <w:rsid w:val="00E74103"/>
    <w:rsid w:val="00E80A75"/>
    <w:rsid w:val="00E918D3"/>
    <w:rsid w:val="00EB098C"/>
    <w:rsid w:val="00EB2329"/>
    <w:rsid w:val="00EB67D2"/>
    <w:rsid w:val="00F13069"/>
    <w:rsid w:val="00F25275"/>
    <w:rsid w:val="00F25A0A"/>
    <w:rsid w:val="00F32007"/>
    <w:rsid w:val="00F41038"/>
    <w:rsid w:val="00F47397"/>
    <w:rsid w:val="00F54115"/>
    <w:rsid w:val="00F63BDD"/>
    <w:rsid w:val="00F66C8B"/>
    <w:rsid w:val="00F97B2E"/>
    <w:rsid w:val="00FC1946"/>
    <w:rsid w:val="00FC3AA2"/>
    <w:rsid w:val="00FE1FDA"/>
    <w:rsid w:val="02836490"/>
    <w:rsid w:val="02E254A6"/>
    <w:rsid w:val="08E749BA"/>
    <w:rsid w:val="08EE0618"/>
    <w:rsid w:val="0BDCBDBA"/>
    <w:rsid w:val="0ED72B8C"/>
    <w:rsid w:val="14216990"/>
    <w:rsid w:val="1444190A"/>
    <w:rsid w:val="1597468D"/>
    <w:rsid w:val="16A20517"/>
    <w:rsid w:val="18A07756"/>
    <w:rsid w:val="1F576621"/>
    <w:rsid w:val="1FEBF9F0"/>
    <w:rsid w:val="20F67E6E"/>
    <w:rsid w:val="21E1534D"/>
    <w:rsid w:val="263070D5"/>
    <w:rsid w:val="26F5D70B"/>
    <w:rsid w:val="28BE7265"/>
    <w:rsid w:val="2AAE58D7"/>
    <w:rsid w:val="2EAA7CF1"/>
    <w:rsid w:val="37FB87DE"/>
    <w:rsid w:val="3CC01BC6"/>
    <w:rsid w:val="3D6B345E"/>
    <w:rsid w:val="3EEFF756"/>
    <w:rsid w:val="3F238364"/>
    <w:rsid w:val="3F6A19AF"/>
    <w:rsid w:val="3FF7A184"/>
    <w:rsid w:val="43751C62"/>
    <w:rsid w:val="45EE44D6"/>
    <w:rsid w:val="48784E15"/>
    <w:rsid w:val="4ADA4634"/>
    <w:rsid w:val="4BAB054F"/>
    <w:rsid w:val="4D1D096E"/>
    <w:rsid w:val="4EDFDA6D"/>
    <w:rsid w:val="4FA2515B"/>
    <w:rsid w:val="50B676DC"/>
    <w:rsid w:val="53566988"/>
    <w:rsid w:val="57AD2CC1"/>
    <w:rsid w:val="59F76811"/>
    <w:rsid w:val="5BBF2A42"/>
    <w:rsid w:val="5BFE702A"/>
    <w:rsid w:val="5E9C7789"/>
    <w:rsid w:val="5F9F0416"/>
    <w:rsid w:val="5FF9F62E"/>
    <w:rsid w:val="5FFF0441"/>
    <w:rsid w:val="66B32358"/>
    <w:rsid w:val="6967DAEA"/>
    <w:rsid w:val="6AE2024D"/>
    <w:rsid w:val="6B970062"/>
    <w:rsid w:val="6E210B69"/>
    <w:rsid w:val="72534367"/>
    <w:rsid w:val="73206257"/>
    <w:rsid w:val="74056C43"/>
    <w:rsid w:val="75E864F5"/>
    <w:rsid w:val="764F0C32"/>
    <w:rsid w:val="76AF73A1"/>
    <w:rsid w:val="76B30F0E"/>
    <w:rsid w:val="771E3ED1"/>
    <w:rsid w:val="77B7D73F"/>
    <w:rsid w:val="77BD335A"/>
    <w:rsid w:val="77FEC966"/>
    <w:rsid w:val="78005D2F"/>
    <w:rsid w:val="780C5AD6"/>
    <w:rsid w:val="79950C92"/>
    <w:rsid w:val="7A130E96"/>
    <w:rsid w:val="7A65A229"/>
    <w:rsid w:val="7ABFC381"/>
    <w:rsid w:val="7AD2121D"/>
    <w:rsid w:val="7B5F0579"/>
    <w:rsid w:val="7BB97EEE"/>
    <w:rsid w:val="7CFED302"/>
    <w:rsid w:val="7D9F1DBB"/>
    <w:rsid w:val="7E0571BC"/>
    <w:rsid w:val="7F3E59DF"/>
    <w:rsid w:val="7F6FA6EA"/>
    <w:rsid w:val="7FBF6DB0"/>
    <w:rsid w:val="7FE8150E"/>
    <w:rsid w:val="7FFFBDC7"/>
    <w:rsid w:val="8EA6AC0D"/>
    <w:rsid w:val="97B967D4"/>
    <w:rsid w:val="9CDEC1AA"/>
    <w:rsid w:val="AFF386DF"/>
    <w:rsid w:val="B5F7C3CC"/>
    <w:rsid w:val="B7F6CBBC"/>
    <w:rsid w:val="BBFA42E8"/>
    <w:rsid w:val="BC7E2C51"/>
    <w:rsid w:val="BF3F93A3"/>
    <w:rsid w:val="BF767F7C"/>
    <w:rsid w:val="BF7F78B8"/>
    <w:rsid w:val="BFCFD323"/>
    <w:rsid w:val="C3FFE8A1"/>
    <w:rsid w:val="D3F0D766"/>
    <w:rsid w:val="DA6374F6"/>
    <w:rsid w:val="DD6958A5"/>
    <w:rsid w:val="DDB00365"/>
    <w:rsid w:val="DDFE0C5D"/>
    <w:rsid w:val="DFE9D568"/>
    <w:rsid w:val="E6C52DD0"/>
    <w:rsid w:val="E77C06F8"/>
    <w:rsid w:val="E7FF480D"/>
    <w:rsid w:val="EA6FFF85"/>
    <w:rsid w:val="EAD922EB"/>
    <w:rsid w:val="EBFECA0C"/>
    <w:rsid w:val="F2BF8831"/>
    <w:rsid w:val="F2DD4075"/>
    <w:rsid w:val="F3DF9006"/>
    <w:rsid w:val="F5EDD7BD"/>
    <w:rsid w:val="F5FBC8C4"/>
    <w:rsid w:val="F6773AE1"/>
    <w:rsid w:val="F6F5F4AD"/>
    <w:rsid w:val="F7F69CF8"/>
    <w:rsid w:val="F9BDA83E"/>
    <w:rsid w:val="F9FF2C71"/>
    <w:rsid w:val="FABFCA98"/>
    <w:rsid w:val="FAFEF4A5"/>
    <w:rsid w:val="FB7E551C"/>
    <w:rsid w:val="FCB789F2"/>
    <w:rsid w:val="FCFFAE6A"/>
    <w:rsid w:val="FDEBF7AE"/>
    <w:rsid w:val="FEBFA6CF"/>
    <w:rsid w:val="FFBFB8A5"/>
    <w:rsid w:val="FFF0E566"/>
    <w:rsid w:val="FFF370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E4F25B"/>
  <w15:chartTrackingRefBased/>
  <w15:docId w15:val="{C475FDE4-8B51-407B-A737-F96E11453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qFormat="1"/>
    <w:lsdException w:name="caption" w:semiHidden="1" w:unhideWhenUsed="1" w:qFormat="1"/>
    <w:lsdException w:name="annotation reference" w:uiPriority="99"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4"/>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rsid w:val="006162D7"/>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jc w:val="left"/>
    </w:pPr>
  </w:style>
  <w:style w:type="character" w:customStyle="1" w:styleId="a4">
    <w:name w:val="批注文字 字符"/>
    <w:link w:val="a3"/>
    <w:uiPriority w:val="99"/>
    <w:qFormat/>
    <w:rPr>
      <w:kern w:val="2"/>
      <w:sz w:val="24"/>
      <w:szCs w:val="24"/>
    </w:rPr>
  </w:style>
  <w:style w:type="paragraph" w:styleId="TOC3">
    <w:name w:val="toc 3"/>
    <w:basedOn w:val="a"/>
    <w:next w:val="a"/>
    <w:uiPriority w:val="39"/>
    <w:pPr>
      <w:tabs>
        <w:tab w:val="right" w:leader="dot" w:pos="9344"/>
      </w:tabs>
      <w:ind w:leftChars="400" w:left="840"/>
    </w:pPr>
    <w:rPr>
      <w:rFonts w:ascii="宋体" w:hAnsi="宋体"/>
    </w:rPr>
  </w:style>
  <w:style w:type="paragraph" w:styleId="20">
    <w:name w:val="Body Text Indent 2"/>
    <w:basedOn w:val="a"/>
    <w:pPr>
      <w:spacing w:line="540" w:lineRule="auto"/>
      <w:ind w:firstLineChars="200" w:firstLine="560"/>
    </w:pPr>
    <w:rPr>
      <w:sz w:val="28"/>
    </w:rPr>
  </w:style>
  <w:style w:type="paragraph" w:styleId="a5">
    <w:name w:val="endnote text"/>
    <w:basedOn w:val="a"/>
    <w:pPr>
      <w:snapToGrid w:val="0"/>
      <w:jc w:val="left"/>
    </w:pPr>
  </w:style>
  <w:style w:type="paragraph" w:styleId="a6">
    <w:name w:val="Balloon Text"/>
    <w:basedOn w:val="a"/>
    <w:link w:val="a7"/>
    <w:rPr>
      <w:rFonts w:ascii="宋体"/>
      <w:sz w:val="18"/>
      <w:szCs w:val="18"/>
    </w:rPr>
  </w:style>
  <w:style w:type="character" w:customStyle="1" w:styleId="a7">
    <w:name w:val="批注框文本 字符"/>
    <w:link w:val="a6"/>
    <w:rPr>
      <w:rFonts w:ascii="宋体"/>
      <w:kern w:val="2"/>
      <w:sz w:val="18"/>
      <w:szCs w:val="18"/>
    </w:rPr>
  </w:style>
  <w:style w:type="paragraph" w:styleId="a8">
    <w:name w:val="footer"/>
    <w:basedOn w:val="a"/>
    <w:link w:val="a9"/>
    <w:pPr>
      <w:tabs>
        <w:tab w:val="center" w:pos="4153"/>
        <w:tab w:val="right" w:pos="8306"/>
      </w:tabs>
      <w:snapToGrid w:val="0"/>
      <w:jc w:val="left"/>
    </w:pPr>
    <w:rPr>
      <w:sz w:val="18"/>
      <w:szCs w:val="18"/>
    </w:rPr>
  </w:style>
  <w:style w:type="character" w:customStyle="1" w:styleId="a9">
    <w:name w:val="页脚 字符"/>
    <w:link w:val="a8"/>
    <w:rPr>
      <w:kern w:val="2"/>
      <w:sz w:val="18"/>
      <w:szCs w:val="18"/>
    </w:rPr>
  </w:style>
  <w:style w:type="paragraph" w:styleId="aa">
    <w:name w:val="header"/>
    <w:basedOn w:val="a"/>
    <w:link w:val="ab"/>
    <w:pPr>
      <w:pBdr>
        <w:bottom w:val="single" w:sz="6" w:space="1" w:color="auto"/>
      </w:pBdr>
      <w:tabs>
        <w:tab w:val="center" w:pos="4153"/>
        <w:tab w:val="right" w:pos="8306"/>
      </w:tabs>
      <w:snapToGrid w:val="0"/>
      <w:jc w:val="center"/>
    </w:pPr>
    <w:rPr>
      <w:sz w:val="18"/>
      <w:szCs w:val="18"/>
    </w:rPr>
  </w:style>
  <w:style w:type="character" w:customStyle="1" w:styleId="ab">
    <w:name w:val="页眉 字符"/>
    <w:link w:val="aa"/>
    <w:rPr>
      <w:kern w:val="2"/>
      <w:sz w:val="18"/>
      <w:szCs w:val="18"/>
    </w:rPr>
  </w:style>
  <w:style w:type="paragraph" w:styleId="TOC1">
    <w:name w:val="toc 1"/>
    <w:basedOn w:val="a"/>
    <w:next w:val="a"/>
    <w:uiPriority w:val="39"/>
    <w:pPr>
      <w:tabs>
        <w:tab w:val="right" w:leader="dot" w:pos="9356"/>
      </w:tabs>
      <w:spacing w:beforeLines="50" w:line="300" w:lineRule="auto"/>
    </w:pPr>
    <w:rPr>
      <w:b/>
    </w:rPr>
  </w:style>
  <w:style w:type="paragraph" w:styleId="TOC2">
    <w:name w:val="toc 2"/>
    <w:basedOn w:val="a"/>
    <w:next w:val="a"/>
    <w:uiPriority w:val="39"/>
    <w:pPr>
      <w:ind w:leftChars="200" w:left="420"/>
    </w:pPr>
  </w:style>
  <w:style w:type="paragraph" w:styleId="ac">
    <w:name w:val="Normal (Web)"/>
    <w:basedOn w:val="a"/>
    <w:pPr>
      <w:widowControl/>
      <w:spacing w:before="100" w:beforeAutospacing="1" w:after="100" w:afterAutospacing="1"/>
      <w:jc w:val="left"/>
    </w:pPr>
    <w:rPr>
      <w:rFonts w:ascii="宋体" w:hAnsi="宋体"/>
      <w:color w:val="000000"/>
      <w:kern w:val="0"/>
    </w:rPr>
  </w:style>
  <w:style w:type="paragraph" w:styleId="ad">
    <w:name w:val="annotation subject"/>
    <w:basedOn w:val="a3"/>
    <w:next w:val="a3"/>
    <w:link w:val="ae"/>
    <w:rPr>
      <w:b/>
      <w:bCs/>
    </w:rPr>
  </w:style>
  <w:style w:type="character" w:customStyle="1" w:styleId="ae">
    <w:name w:val="批注主题 字符"/>
    <w:link w:val="ad"/>
    <w:rPr>
      <w:b/>
      <w:bCs/>
      <w:kern w:val="2"/>
      <w:sz w:val="24"/>
      <w:szCs w:val="24"/>
    </w:rPr>
  </w:style>
  <w:style w:type="table" w:styleId="af">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0">
    <w:name w:val="Table Simple 1"/>
    <w:basedOn w:val="a1"/>
    <w:qFormat/>
    <w:pPr>
      <w:widowControl w:val="0"/>
      <w:jc w:val="both"/>
    </w:pPr>
    <w:tblPr>
      <w:tblBorders>
        <w:top w:val="single" w:sz="12" w:space="0" w:color="008000"/>
        <w:bottom w:val="single" w:sz="12" w:space="0" w:color="008000"/>
      </w:tblBorders>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character" w:styleId="af0">
    <w:name w:val="Strong"/>
    <w:qFormat/>
    <w:rPr>
      <w:b/>
      <w:bCs/>
    </w:rPr>
  </w:style>
  <w:style w:type="character" w:styleId="af1">
    <w:name w:val="endnote reference"/>
    <w:rPr>
      <w:vertAlign w:val="superscript"/>
    </w:rPr>
  </w:style>
  <w:style w:type="character" w:styleId="af2">
    <w:name w:val="Hyperlink"/>
    <w:uiPriority w:val="99"/>
    <w:rPr>
      <w:color w:val="0000FF"/>
      <w:u w:val="single"/>
    </w:rPr>
  </w:style>
  <w:style w:type="character" w:styleId="af3">
    <w:name w:val="annotation reference"/>
    <w:uiPriority w:val="99"/>
    <w:qFormat/>
    <w:rPr>
      <w:sz w:val="21"/>
      <w:szCs w:val="21"/>
    </w:rPr>
  </w:style>
  <w:style w:type="character" w:customStyle="1" w:styleId="CharChar4">
    <w:name w:val="Char Char4"/>
    <w:rPr>
      <w:kern w:val="2"/>
      <w:sz w:val="18"/>
      <w:szCs w:val="18"/>
    </w:rPr>
  </w:style>
  <w:style w:type="character" w:customStyle="1" w:styleId="gt-card-ttl-txt">
    <w:name w:val="gt-card-ttl-txt"/>
    <w:qFormat/>
  </w:style>
  <w:style w:type="paragraph" w:customStyle="1" w:styleId="CharChar2">
    <w:name w:val="Char Char2"/>
    <w:basedOn w:val="a"/>
    <w:pPr>
      <w:widowControl/>
      <w:spacing w:after="160" w:line="240" w:lineRule="exact"/>
      <w:jc w:val="left"/>
    </w:pPr>
    <w:rPr>
      <w:rFonts w:ascii="Verdana" w:hAnsi="Verdana"/>
      <w:kern w:val="0"/>
      <w:sz w:val="20"/>
      <w:szCs w:val="20"/>
      <w:lang w:eastAsia="en-US"/>
    </w:rPr>
  </w:style>
  <w:style w:type="paragraph" w:customStyle="1" w:styleId="11">
    <w:name w:val="列表段落1"/>
    <w:basedOn w:val="a"/>
    <w:uiPriority w:val="34"/>
    <w:qFormat/>
    <w:pPr>
      <w:ind w:firstLine="420"/>
    </w:pPr>
    <w:rPr>
      <w:rFonts w:ascii="Calibri" w:hAnsi="Calibri"/>
      <w:sz w:val="21"/>
      <w:szCs w:val="22"/>
    </w:rPr>
  </w:style>
  <w:style w:type="paragraph" w:styleId="af4">
    <w:name w:val="List Paragraph"/>
    <w:basedOn w:val="a"/>
    <w:uiPriority w:val="99"/>
    <w:qFormat/>
    <w:rsid w:val="00076DCB"/>
    <w:pPr>
      <w:ind w:firstLineChars="200" w:firstLine="420"/>
    </w:pPr>
  </w:style>
  <w:style w:type="character" w:customStyle="1" w:styleId="40">
    <w:name w:val="标题 4 字符"/>
    <w:basedOn w:val="a0"/>
    <w:link w:val="4"/>
    <w:semiHidden/>
    <w:rsid w:val="006162D7"/>
    <w:rPr>
      <w:rFonts w:asciiTheme="majorHAnsi" w:eastAsiaTheme="majorEastAsia" w:hAnsiTheme="majorHAnsi" w:cstheme="majorBidi"/>
      <w:b/>
      <w:bCs/>
      <w:kern w:val="2"/>
      <w:sz w:val="28"/>
      <w:szCs w:val="28"/>
    </w:rPr>
  </w:style>
  <w:style w:type="paragraph" w:styleId="TOC">
    <w:name w:val="TOC Heading"/>
    <w:basedOn w:val="1"/>
    <w:next w:val="a"/>
    <w:uiPriority w:val="39"/>
    <w:unhideWhenUsed/>
    <w:qFormat/>
    <w:rsid w:val="00DD5EE2"/>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3.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ECE907-9998-4EE8-94B1-9AF6E3EE44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13</Pages>
  <Words>1574</Words>
  <Characters>8977</Characters>
  <Application>Microsoft Office Word</Application>
  <DocSecurity>0</DocSecurity>
  <Lines>74</Lines>
  <Paragraphs>21</Paragraphs>
  <ScaleCrop>false</ScaleCrop>
  <Company>WwW.YlmF.CoM</Company>
  <LinksUpToDate>false</LinksUpToDate>
  <CharactersWithSpaces>10530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关俊明</dc:creator>
  <cp:keywords/>
  <dc:description/>
  <cp:lastModifiedBy>尊炫 陈</cp:lastModifiedBy>
  <cp:revision>8</cp:revision>
  <cp:lastPrinted>2020-10-30T11:23:00Z</cp:lastPrinted>
  <dcterms:created xsi:type="dcterms:W3CDTF">2026-06-07T07:03:00Z</dcterms:created>
  <dcterms:modified xsi:type="dcterms:W3CDTF">2026-06-09T07:20:00Z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AC9EAC24772147C1A2B3A668380526AD</vt:lpwstr>
  </property>
  <property fmtid="{D5CDD505-2E9C-101B-9397-08002B2CF9AE}" pid="4" name="KSOTemplateDocerSaveRecord">
    <vt:lpwstr>eyJoZGlkIjoiNTg5OWZhMzliYWQ2ZGQyMDE4NjkzNzQ0YmU0Zjc1MGIiLCJ1c2VySWQiOiI1MjI3ODcwMTQifQ==</vt:lpwstr>
  </property>
</Properties>
</file>