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8"/>
        </w:rPr>
        <w:t>Beauty 市场页重构外发简报</w:t>
      </w:r>
    </w:p>
    <w:p>
      <w:pPr>
        <w:spacing w:after="240"/>
      </w:pPr>
      <w:r>
        <w:rPr>
          <w:color w:val="64748B"/>
          <w:sz w:val="22"/>
        </w:rPr>
        <w:t>Amazon US 增长情报中台 · 2026-06-03</w:t>
      </w:r>
    </w:p>
    <w:p>
      <w:pPr>
        <w:pStyle w:val="Heading1"/>
      </w:pPr>
      <w:r>
        <w:t>1. Executive Summary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20"/>
              </w:rPr>
              <w:t>验收页面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563EB"/>
                <w:sz w:val="20"/>
              </w:rPr>
              <w:t>http://127.0.0.1:8787/pages/market/?l1=Beauty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20"/>
              </w:rPr>
              <w:t>重构范围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仅 Beauty 市场页；未铺开其他一级行业。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20"/>
              </w:rPr>
              <w:t>核心目标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把市场页从 BI 报表改成 B2B 增长情报中台。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sz w:val="20"/>
              </w:rPr>
              <w:t>最终状态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核心趋势 + 左侧类目入口表 + 右侧主视觉详情面板 + 底部玩家与信号占位。</w:t>
            </w:r>
          </w:p>
        </w:tc>
      </w:tr>
    </w:tbl>
    <w:p>
      <w:r>
        <w:t>本轮交付把 Beauty 市场页从数据报表式展示，改成面向 B2B 增长判断的情报工作台。首屏现在能够回答：Beauty 为什么值得做、哪些二级类目值得下钻、以及中国玩家在哪些结构里有真实机会。</w:t>
      </w:r>
    </w:p>
    <w:p>
      <w:pPr>
        <w:pStyle w:val="Heading1"/>
      </w:pPr>
      <w:r>
        <w:t>2. What Changed</w:t>
      </w:r>
    </w:p>
    <w:p>
      <w:pPr>
        <w:pStyle w:val="ListBullet"/>
        <w:spacing w:after="80"/>
      </w:pPr>
      <w:r>
        <w:t>顶部从“核心观点”改为“核心趋势”，保留 3 条短而有信息量的 Beauty 趋势。</w:t>
      </w:r>
    </w:p>
    <w:p>
      <w:pPr>
        <w:pStyle w:val="ListBullet"/>
        <w:spacing w:after="80"/>
      </w:pPr>
      <w:r>
        <w:t>Beauty 被拆成 11 个标准二级行业，替代粗粒度的“护肤与个护”主导视角。</w:t>
      </w:r>
    </w:p>
    <w:p>
      <w:pPr>
        <w:pStyle w:val="ListBullet"/>
        <w:spacing w:after="80"/>
      </w:pPr>
      <w:r>
        <w:t>类目机会排行变成左侧入口表，仅展示最多 10 行，服务于点击下钻。</w:t>
      </w:r>
    </w:p>
    <w:p>
      <w:pPr>
        <w:pStyle w:val="ListBullet"/>
        <w:spacing w:after="80"/>
      </w:pPr>
      <w:r>
        <w:t>中部右侧改成主视觉详情面板，承载指标、趋势图、玩家格局、产品机会、增长信号和推荐动作。</w:t>
      </w:r>
    </w:p>
    <w:p>
      <w:pPr>
        <w:pStyle w:val="ListBullet"/>
        <w:spacing w:after="80"/>
      </w:pPr>
      <w:r>
        <w:t>底部玩家模块改为“中国玩家机会判断”；底部增长信号概览留作占位。</w:t>
      </w:r>
    </w:p>
    <w:p>
      <w:pPr>
        <w:pStyle w:val="Heading1"/>
      </w:pPr>
      <w:r>
        <w:t>3. Beauty Standard L2 Taxonomy</w:t>
      </w:r>
    </w:p>
    <w:p>
      <w:r>
        <w:t>拆分基于处理后的 Amazon US 市场底表、玩家主类目 main_l3、品牌名称和 Beauty 原始 L3 语义进行权重分配。这不是 SKU 级重建，而是用于市场页首屏判断的标准化业务口径。</w:t>
      </w:r>
    </w:p>
    <w:tbl>
      <w:tblPr>
        <w:tblStyle w:val="TableGrid"/>
        <w:tblW w:type="dxa" w:w="8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2600"/>
        <w:gridCol w:w="4860"/>
      </w:tblGrid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20"/>
              </w:rPr>
              <w:t>标准二级行业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20"/>
              </w:rPr>
              <w:t>拆分逻辑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功效面部护肤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承接 K-Beauty、成分功效、敏感肌与医美平替内容入口。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身体/沐浴/除臭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从护肤大桶中拆出身体护理、沐浴、除臭等高复购日用品逻辑。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彩妆/卸妆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保留试色、妆效、卸妆等内容入口，避免继续混入护肤。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香水/香氛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单独识别香评、平替、高性价比香氛和中东香水变量。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口腔护理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按电动牙刷、水牙线、牙膏、美白和耗材复购逻辑拆出。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男士剃须/理容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独立识别剃须刀、理发器、理容工具和男士替换周期。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女性脱毛/IPL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单独承载 IPL、脱毛仪、waxing 和内容测评型增长。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洗护/头皮/防脱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区分洗发护发、头皮护理、防脱和发膜发油复购。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造型工具/吹风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识别吹风机、直发器、卷发棒等参数和测评驱动品类。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美甲/手足护理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承载高 CN 渗透、教程化、色系上新和套装化机会。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美容工具/仪器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覆盖 LED、微电流、AGE-R、美容仪和家庭护理替代。</w:t>
            </w:r>
          </w:p>
        </w:tc>
      </w:tr>
    </w:tbl>
    <w:p>
      <w:pPr>
        <w:pStyle w:val="Heading1"/>
      </w:pPr>
      <w:r>
        <w:t>4. Core Trends Now Shown On Page</w:t>
      </w:r>
    </w:p>
    <w:p>
      <w:pPr>
        <w:pStyle w:val="ListNumber"/>
        <w:spacing w:after="80"/>
      </w:pPr>
      <w:r>
        <w:t>K-Beauty 与功效护肤接管内容入口：medicube、ANUA、Beauty of Joseon 把成分证据变成可传播的购买理由。</w:t>
      </w:r>
    </w:p>
    <w:p>
      <w:pPr>
        <w:pStyle w:val="ListNumber"/>
        <w:spacing w:after="80"/>
      </w:pPr>
      <w:r>
        <w:t>设备型个护正在消费电子化：IPL、造型工具、口腔护理和美容仪更容易用参数、测评和价格带建立差异。</w:t>
      </w:r>
    </w:p>
    <w:p>
      <w:pPr>
        <w:pStyle w:val="ListNumber"/>
        <w:spacing w:after="80"/>
      </w:pPr>
      <w:r>
        <w:t>中国玩家机会集中在可参数化、教程化、耗材化细分：美甲、造型工具、IPL、口腔护理和部分美容仪优先下钻。</w:t>
      </w:r>
    </w:p>
    <w:p>
      <w:pPr>
        <w:pStyle w:val="Heading1"/>
      </w:pPr>
      <w:r>
        <w:t>5. Validation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300"/>
        <w:gridCol w:w="1200"/>
        <w:gridCol w:w="3860"/>
      </w:tblGrid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node scripts\render_research_portal_pages_v0_3.js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166534"/>
                <w:sz w:val="19"/>
              </w:rPr>
              <w:t>通过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rendered research portal pages v0.3</w:t>
            </w:r>
          </w:p>
        </w:tc>
      </w:tr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node scripts\validate_portal_pages_v0_1.js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166534"/>
                <w:sz w:val="19"/>
              </w:rPr>
              <w:t>通过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market / players / products / leads inline_js_ok</w:t>
            </w:r>
          </w:p>
        </w:tc>
      </w:tr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node scripts\validate_intelligence_portal_contract_v0_1.js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166534"/>
                <w:sz w:val="19"/>
              </w:rPr>
              <w:t>通过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intelligence portal contract ok</w:t>
            </w:r>
          </w:p>
        </w:tc>
      </w:tr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1440x900 宽屏 QA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color w:val="166534"/>
                <w:sz w:val="19"/>
              </w:rPr>
              <w:t>通过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无横向溢出；左右中部同顶同底；右侧详情内部滚动。</w:t>
            </w:r>
          </w:p>
        </w:tc>
      </w:tr>
    </w:tbl>
    <w:p>
      <w:pPr>
        <w:pStyle w:val="Heading1"/>
      </w:pPr>
      <w:r>
        <w:t>6. 1440x900 Visual QA Screenshot</w:t>
      </w:r>
    </w:p>
    <w:p>
      <w:r>
        <w:t>下图为宽屏验收截图，用于外发说明页面首屏布局。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uty_market_qa_1440_2026_06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Remaining Limits</w:t>
      </w:r>
    </w:p>
    <w:p>
      <w:pPr>
        <w:pStyle w:val="ListBullet"/>
        <w:spacing w:after="80"/>
      </w:pPr>
      <w:r>
        <w:t>Beauty 拆分仍基于处理后底表和玩家主类目推断，不等于 SKU/ASIN 全量索引。</w:t>
      </w:r>
    </w:p>
    <w:p>
      <w:pPr>
        <w:pStyle w:val="ListBullet"/>
        <w:spacing w:after="80"/>
      </w:pPr>
      <w:r>
        <w:t>增长事件仍需 PR、新闻、展会、TikTok 或 Google Trends 做持续补证。</w:t>
      </w:r>
    </w:p>
    <w:p>
      <w:pPr>
        <w:pStyle w:val="ListBullet"/>
        <w:spacing w:after="80"/>
      </w:pPr>
      <w:r>
        <w:t>产品机会仍是方向级，不冒充真实 SKU 事实。</w:t>
      </w:r>
    </w:p>
    <w:p>
      <w:pPr>
        <w:pStyle w:val="ListBullet"/>
        <w:spacing w:after="80"/>
      </w:pPr>
      <w:r>
        <w:t>其他一级行业尚未按 Beauty 新标准重构。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Beauty Market Rebuild · 2026-06-03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