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6E31C" w14:textId="12B2CB8C" w:rsidR="000A1324" w:rsidRDefault="000A1324">
      <w:r>
        <w:t>Beta lactamase</w:t>
      </w:r>
    </w:p>
    <w:p w14:paraId="3E84ADED" w14:textId="4DD0874F" w:rsidR="000A1324" w:rsidRDefault="000A1324">
      <w:r>
        <w:fldChar w:fldCharType="begin"/>
      </w:r>
      <w:r w:rsidR="00BF70FF">
        <w:instrText>ADDIN F1000_CSL_CITATION&lt;~#@#~&gt;[{"DOI":"10.1016/j.cell.2015.01.035","First":false,"Last":false,"PMID":"25723163","abstract":"Evolvability—the capacity to generate beneficial heritable variation—is a central property of biological systems. However, its origins and modulation by environmental factors have not been examined systematically. Here, we analyze the fitness effects of all single mutations in TEM-1 β-lactamase (4,997 variants) under selection for the wild-type function (ampicillin resistance) and for a new function (cefotaxime resistance). Tolerance to mutation in this enzyme is bimodal and dependent on the strength of purifying selection in vivo, a result that derives from a steep non-linear ampicillin-dependent relationship between biochemical activity and fitness. Interestingly, cefotaxime resistance emerges from mutations that are neutral at low levels of ampicillin but deleterious at high levels; thus the capacity to evolve new function also depends on the strength of selection. The key property controlling evolvability is an excess of enzymatic activity relative to the strength of selection, suggesting that fluctuating environments might select for high-activity enzymes.&lt;br&gt;&lt;br&gt;Copyright © 2015 Elsevier Inc. All rights reserved.","author":[{"family":"Stiffler","given":"Michael A"},{"family":"Hekstra","given":"Doeke R"},{"family":"Ranganathan","given":"Rama"}],"authorYearDisplayFormat":false,"citation-label":"2045692","container-title":"Cell","container-title-short":"Cell","id":"2045692","invisible":false,"issue":"5","issued":{"date-parts":[["2015","2","26"]]},"journalAbbreviation":"Cell","page":"882-892","suppress-author":false,"title":"Evolvability as a function of purifying selection in TEM-1 β-lactamase.","type":"article-journal","volume":"160"}]</w:instrText>
      </w:r>
      <w:r>
        <w:fldChar w:fldCharType="separate"/>
      </w:r>
      <w:r w:rsidR="00D86E68" w:rsidRPr="00D86E68">
        <w:rPr>
          <w:noProof/>
        </w:rPr>
        <w:t>(Stiffler, Hekstra, &amp; Ranganathan, 2015)</w:t>
      </w:r>
      <w:r>
        <w:fldChar w:fldCharType="end"/>
      </w:r>
    </w:p>
    <w:p w14:paraId="20380B8A" w14:textId="703782E9" w:rsidR="000A1324" w:rsidRDefault="000A1324"/>
    <w:p w14:paraId="1CA628AC" w14:textId="35626013" w:rsidR="000A1324" w:rsidRDefault="000A1324">
      <w:r>
        <w:t>Sumo1 and UBE2I</w:t>
      </w:r>
    </w:p>
    <w:p w14:paraId="2FB5B27A" w14:textId="6558EF60" w:rsidR="000A1324" w:rsidRDefault="000A1324">
      <w:r>
        <w:fldChar w:fldCharType="begin"/>
      </w:r>
      <w:r w:rsidR="00BF70FF">
        <w:instrText>ADDIN F1000_CSL_CITATION&lt;~#@#~&gt;[{"DOI":"10.15252/msb.20177908","First":false,"Last":false,"PMCID":"PMC5740498","PMID":"29269382","abstract":"Although we now routinely sequence human genomes, we can confidently identify only a fraction of the sequence variants that have a functional impact. Here, we developed a deep mutational scanning framework that produces exhaustive maps for human missense variants by combining random codon mutagenesis and multiplexed functional variation assays with computational imputation and refinement. We applied this framework to four proteins corresponding to six human genes: UBE2I (encoding SUMO E2 conjugase), SUMO1 (small ubiquitin-like modifier), TPK1 (thiamin pyrophosphokinase), and CALM1/2/3 (three genes encoding the protein calmodulin). The resulting maps recapitulate known protein features and confidently identify pathogenic variation. Assays potentially amenable to deep mutational scanning are already available for 57% of human disease genes, suggesting that DMS could ultimately map functional variation for all human disease genes.&lt;br&gt;&lt;br&gt;© 2017 The Authors. Published under the terms of the CC BY 4.0 license.","author":[{"family":"Weile","given":"Jochen"},{"family":"Sun","given":"Song"},{"family":"Cote","given":"Atina G"},{"family":"Knapp","given":"Jennifer"},{"family":"Verby","given":"Marta"},{"family":"Mellor","given":"Joseph C"},{"family":"Wu","given":"Yingzhou"},{"family":"Pons","given":"Carles"},{"family":"Wong","given":"Cassandra"},{"family":"van Lieshout","given":"Natascha"},{"family":"Yang","given":"Fan"},{"family":"Tasan","given":"Murat"},{"family":"Tan","given":"Guihong"},{"family":"Yang","given":"Shan"},{"family":"Fowler","given":"Douglas M"},{"family":"Nussbaum","given":"Robert"},{"family":"Bloom","given":"Jesse D"},{"family":"Vidal","given":"Marc"},{"family":"Hill","given":"David E"},{"family":"Aloy","given":"Patrick"},{"family":"Roth","given":"Frederick P"}],"authorYearDisplayFormat":false,"citation-label":"5547906","container-title":"Molecular Systems Biology","container-title-short":"Mol. Syst. Biol.","id":"5547906","invisible":false,"issue":"12","issued":{"date-parts":[["2017","12","21"]]},"journalAbbreviation":"Mol. Syst. Biol.","page":"957","suppress-author":false,"title":"A framework for exhaustively mapping functional missense variants.","type":"article-journal","volume":"13"}]</w:instrText>
      </w:r>
      <w:r>
        <w:fldChar w:fldCharType="separate"/>
      </w:r>
      <w:r w:rsidR="00D86E68" w:rsidRPr="00D86E68">
        <w:rPr>
          <w:noProof/>
        </w:rPr>
        <w:t>(Weile et al., 2017)</w:t>
      </w:r>
      <w:r>
        <w:fldChar w:fldCharType="end"/>
      </w:r>
    </w:p>
    <w:p w14:paraId="56E6354B" w14:textId="58975D41" w:rsidR="000A1324" w:rsidRDefault="000A1324"/>
    <w:p w14:paraId="41E16CBE" w14:textId="04D21502" w:rsidR="000A1324" w:rsidRDefault="000A1324">
      <w:r>
        <w:t>MAPK1</w:t>
      </w:r>
    </w:p>
    <w:p w14:paraId="4C094F80" w14:textId="1051D692" w:rsidR="000A1324" w:rsidRDefault="000A1324">
      <w:r>
        <w:fldChar w:fldCharType="begin"/>
      </w:r>
      <w:r w:rsidR="00BF70FF">
        <w:instrText>ADDIN F1000_CSL_CITATION&lt;~#@#~&gt;[{"DOI":"10.15252/msb.20199380","First":false,"Last":false,"PMCID":"PMC7336272","PMID":"32627955","abstract":"To deal with the huge number of novel protein-coding variants identified by genome and exome sequencing studies, many computational variant effect predictors (VEPs) have been developed. Such predictors are often trained and evaluated using different variant data sets, making a direct comparison between VEPs difficult. In this study, we use 31 previously published deep mutational scanning (DMS) experiments, which provide quantitative, independent phenotypic measurements for large numbers of single amino acid substitutions, in order to benchmark and compare 46 different VEPs. We also evaluate the ability of DMS measurements and VEPs to discriminate between pathogenic and benign missense variants. We find that DMS experiments tend to be superior to the top-ranking predictors, demonstrating the tremendous potential of DMS for identifying novel human disease mutations. Among the VEPs, DeepSequence clearly stood out, showing both the strongest correlations with DMS data and having the best ability to predict pathogenic mutations, which is especially remarkable given that it is an unsupervised method. We further recommend SNAP2, DEOGEN2, SNPs&amp;GO, SuSPect and REVEL based upon their performance in these analyses.&lt;br&gt;&lt;br&gt;© 2020 The Authors. Published under the terms of the CC BY 4.0 license.","author":[{"family":"Livesey","given":"Benjamin J"},{"family":"Marsh","given":"Joseph A"}],"authorYearDisplayFormat":false,"citation-label":"9541613","container-title":"Molecular Systems Biology","container-title-short":"Mol. Syst. Biol.","id":"9541613","invisible":false,"issue":"7","issued":{"date-parts":[["2020","7"]]},"journalAbbreviation":"Mol. Syst. Biol.","page":"e9380","suppress-author":false,"title":"Using deep mutational scanning to benchmark variant effect predictors and identify disease mutations.","type":"article-journal","volume":"16"}]</w:instrText>
      </w:r>
      <w:r>
        <w:fldChar w:fldCharType="separate"/>
      </w:r>
      <w:r w:rsidR="00D86E68" w:rsidRPr="00D86E68">
        <w:rPr>
          <w:noProof/>
        </w:rPr>
        <w:t>(Livesey &amp; Marsh, 2020)</w:t>
      </w:r>
      <w:r>
        <w:fldChar w:fldCharType="end"/>
      </w:r>
    </w:p>
    <w:p w14:paraId="33F71F99" w14:textId="77777777" w:rsidR="000A1324" w:rsidRDefault="000A1324"/>
    <w:p w14:paraId="6ECB1BAD" w14:textId="6FE88A09" w:rsidR="000A1324" w:rsidRDefault="000A1324">
      <w:r>
        <w:t>TAT and REV</w:t>
      </w:r>
    </w:p>
    <w:p w14:paraId="4704763A" w14:textId="7FC76E06" w:rsidR="000A1324" w:rsidRDefault="000A1324">
      <w:r>
        <w:fldChar w:fldCharType="begin"/>
      </w:r>
      <w:r w:rsidR="00BF70FF">
        <w:instrText>ADDIN F1000_CSL_CITATION&lt;~#@#~&gt;[{"DOI":"10.1016/j.cell.2016.11.031","First":false,"Last":false,"PMCID":"PMC5287106","PMID":"27984726","abstract":"Overlapping genes pose an evolutionary dilemma as one DNA sequence evolves under the selection pressures of multiple proteins. Here, we perform systematic statistical and mutational analyses of the overlapping HIV-1 genes tat and rev and engineer exhaustive libraries of non-overlapped viruses to perform deep mutational scanning of each gene independently. We find a \"segregated\" organization in which overlapped sites encode functional residues of one gene or the other, but never both. Furthermore, this organization eliminates unfit genotypes, providing a fitness advantage to the population. Our comprehensive analysis reveals the extraordinary manner in which HIV minimizes the constraint of overlapping genes and repurposes that constraint to its own advantage. Thus, overlaps are not just consequences of evolutionary constraints, but rather can provide population fitness advantages.&lt;br&gt;&lt;br&gt;Copyright © 2016 Elsevier Inc. All rights reserved.","author":[{"family":"Fernandes","given":"Jason D"},{"family":"Faust","given":"Tyler B"},{"family":"Strauli","given":"Nicolas B"},{"family":"Smith","given":"Cynthia"},{"family":"Crosby","given":"David C"},{"family":"Nakamura","given":"Robert L"},{"family":"Hernandez","given":"Ryan D"},{"family":"Frankel","given":"Alan D"}],"authorYearDisplayFormat":false,"citation-label":"2910881","container-title":"Cell","container-title-short":"Cell","id":"2910881","invisible":false,"issue":"7","issued":{"date-parts":[["2016","12","15"]]},"journalAbbreviation":"Cell","page":"1762-1773.e12","suppress-author":false,"title":"Functional segregation of overlapping genes in HIV.","type":"article-journal","volume":"167"}]</w:instrText>
      </w:r>
      <w:r>
        <w:fldChar w:fldCharType="separate"/>
      </w:r>
      <w:r w:rsidR="00D86E68" w:rsidRPr="00D86E68">
        <w:rPr>
          <w:noProof/>
        </w:rPr>
        <w:t>(Fernandes et al., 2016)</w:t>
      </w:r>
      <w:r>
        <w:fldChar w:fldCharType="end"/>
      </w:r>
    </w:p>
    <w:p w14:paraId="4529D33B" w14:textId="70994FCE" w:rsidR="000A1324" w:rsidRDefault="000A1324"/>
    <w:p w14:paraId="449775B7" w14:textId="4EC06066" w:rsidR="000A1324" w:rsidRDefault="000A1324">
      <w:r>
        <w:t>Alpha-synuclein</w:t>
      </w:r>
    </w:p>
    <w:p w14:paraId="453F02BE" w14:textId="215F4A0B" w:rsidR="000A1324" w:rsidRDefault="000A1324">
      <w:r>
        <w:fldChar w:fldCharType="begin"/>
      </w:r>
      <w:r w:rsidR="00BF70FF">
        <w:instrText>ADDIN F1000_CSL_CITATION&lt;~#@#~&gt;[{"DOI":"10.1038/s41589-020-0480-6","First":false,"Last":false,"PMCID":"PMC7339969","PMID":"32152544","abstract":"Defining the biologically active structures of proteins in their cellular environments remains challenging for proteins with multiple conformations and functions, where only a minor conformer might be associated with a given function. Here, we use deep mutational scanning to probe the structure and dynamics of α-synuclein, a protein known to adopt disordered, helical and amyloid conformations. We examined the effects of 2,600 single-residue substitutions on the ability of intracellularly expressed α-synuclein to slow the growth of yeast. Computational analysis of the data showed that the conformation responsible for this phenotype is a long, uninterrupted, amphiphilic helix with increasing dynamics toward the C terminus. Deep mutational scanning can therefore determine biologically active conformations in cellular environments, even for a highly dynamic multi-conformational protein.","author":[{"family":"Newberry","given":"Robert W"},{"family":"Leong","given":"Jaime T"},{"family":"Chow","given":"Eric D"},{"family":"Kampmann","given":"Martin"},{"family":"DeGrado","given":"William F"}],"authorYearDisplayFormat":false,"citation-label":"8410808","container-title":"Nature Chemical Biology","container-title-short":"Nat. Chem. Biol.","id":"8410808","invisible":false,"issue":"6","issued":{"date-parts":[["2020","3","9"]]},"journalAbbreviation":"Nat. Chem. Biol.","page":"653-659","suppress-author":false,"title":"Deep mutational scanning reveals the structural basis for α-synuclein activity.","type":"article-journal","volume":"16"}]</w:instrText>
      </w:r>
      <w:r>
        <w:fldChar w:fldCharType="separate"/>
      </w:r>
      <w:r w:rsidR="00D86E68" w:rsidRPr="00D86E68">
        <w:rPr>
          <w:noProof/>
        </w:rPr>
        <w:t>(Newberry, Leong, Chow, Kampmann, &amp; DeGrado, 2020)</w:t>
      </w:r>
      <w:r>
        <w:fldChar w:fldCharType="end"/>
      </w:r>
    </w:p>
    <w:p w14:paraId="3EBF8915" w14:textId="54FAB209" w:rsidR="000A1324" w:rsidRDefault="000A1324"/>
    <w:p w14:paraId="308CE115" w14:textId="2117AD1E" w:rsidR="000A1324" w:rsidRDefault="000A1324">
      <w:r>
        <w:t>APH</w:t>
      </w:r>
    </w:p>
    <w:p w14:paraId="245911F8" w14:textId="55BBEE95" w:rsidR="000A1324" w:rsidRDefault="000A1324">
      <w:r>
        <w:fldChar w:fldCharType="begin"/>
      </w:r>
      <w:r w:rsidR="00BF70FF">
        <w:instrText>ADDIN F1000_CSL_CITATION&lt;~#@#~&gt;[{"DOI":"10.1093/nar/gku511","First":false,"Last":false,"PMCID":"PMC4132701","PMID":"24914046","abstract":"Deep mutational scanning has emerged as a promising tool for mapping sequence-activity relationships in proteins, ribonucleic acid and deoxyribonucleic acid. In this approach, diverse variants of a sequence of interest are first ranked according to their activities in a relevant assay, and this ranking is then used to infer the shape of the fitness landscape around the wild-type sequence. Little is currently known, however, about the degree to which such fitness landscapes are dependent on the specific assay conditions from which they are inferred. To explore this issue, we performed comprehensive single-substitution mutational scanning of APH(3')II, a Tn5 transposon-derived kinase that confers resistance to aminoglycoside antibiotics, in Escherichia coli under selection with each of six structurally diverse antibiotics at a range of inhibitory concentrations. We found that the resulting local fitness landscapes showed significant dependence on both antibiotic structure and concentration, and that this dependence can be exploited to guide protein engineering. Specifically, we found that differential analysis of fitness landscapes allowed us to generate synthetic APH(3')II variants with orthogonal substrate specificities. &lt;br&gt;&lt;br&gt;© The Author(s) 2014. Published by Oxford University Press on behalf of Nucleic Acids Research.","author":[{"family":"Melnikov","given":"Alexandre"},{"family":"Rogov","given":"Peter"},{"family":"Wang","given":"Li"},{"family":"Gnirke","given":"Andreas"},{"family":"Mikkelsen","given":"Tarjei S"}],"authorYearDisplayFormat":false,"citation-label":"2600197","container-title":"Nucleic Acids Research","container-title-short":"Nucleic Acids Res.","id":"2600197","invisible":false,"issue":"14","issued":{"date-parts":[["2014","8"]]},"journalAbbreviation":"Nucleic Acids Res.","page":"e112","suppress-author":false,"title":"Comprehensive mutational scanning of a kinase in vivo reveals substrate-dependent fitness landscapes.","type":"article-journal","volume":"42"}]</w:instrText>
      </w:r>
      <w:r>
        <w:fldChar w:fldCharType="separate"/>
      </w:r>
      <w:r w:rsidR="00D86E68" w:rsidRPr="00D86E68">
        <w:rPr>
          <w:noProof/>
        </w:rPr>
        <w:t>(Melnikov, Rogov, Wang, Gnirke, &amp; Mikkelsen, 2014)</w:t>
      </w:r>
      <w:r>
        <w:fldChar w:fldCharType="end"/>
      </w:r>
    </w:p>
    <w:p w14:paraId="039222D6" w14:textId="3C2C94C5" w:rsidR="000A1324" w:rsidRDefault="000A1324"/>
    <w:p w14:paraId="15540CC8" w14:textId="7F6891C1" w:rsidR="000A1324" w:rsidRDefault="000A1324">
      <w:r>
        <w:t>B11l5f</w:t>
      </w:r>
    </w:p>
    <w:p w14:paraId="2CF4E9F5" w14:textId="52DC7C64" w:rsidR="000A1324" w:rsidRDefault="000A1324">
      <w:r>
        <w:fldChar w:fldCharType="begin"/>
      </w:r>
      <w:r w:rsidR="00BF70FF">
        <w:instrText>ADDIN F1000_CSL_CITATION&lt;~#@#~&gt;[{"DOI":"10.5281/zenodo.1216229","First":false,"Last":false,"abstract":"This dataset contains the supplementary materials for \"De novo design of a fluorescence-activating beta barrel\" (doi: 10.1038/s41586-018-0509-0).  Detailed description is provided in the \"List.docx\" file.","author":[{"family":"Dou","given":"Jiayi"},{"family":"Vorobieva","given":"Anastassia"},{"family":"Sheffler","given":"William"},{"family":"Doyle","given":"Lindsey"},{"family":"Park","given":"Hahnbeom"},{"family":"Bick","given":"Matthew"},{"family":"Mao","given":"Binchen"},{"family":"Foight","given":"Glenna"},{"family":"Lee","given":"Min Yen"},{"family":"Gagnon","given":"Lauren"},{"family":"Carter","given":"Lauren"},{"family":"Sankaran","given":"Banumathi"},{"family":"Ovchinnikov","given":"Sergey"},{"family":"Marcos","given":"Enrique"},{"family":"Huang","given":"Po-Ssu"},{"family":"Vaughan","given":"Joshua"},{"family":"Stoddard","given":"Barry"},{"family":"Baker","given":"David"}],"authorYearDisplayFormat":false,"citation-label":"9647101","container-title":"Zenodo","container-title-short":"Zenodo","id":"9647101","invisible":false,"issued":{"date-parts":[["2018"]]},"journalAbbreviation":"Zenodo","suppress-author":false,"title":"De Novo Design Of A Fluorescence-Activating Β-Barrel","type":"article-journal"}]</w:instrText>
      </w:r>
      <w:r>
        <w:fldChar w:fldCharType="separate"/>
      </w:r>
      <w:r w:rsidR="00D86E68" w:rsidRPr="00D86E68">
        <w:rPr>
          <w:noProof/>
        </w:rPr>
        <w:t>(Dou et al., 2018)</w:t>
      </w:r>
      <w:r>
        <w:fldChar w:fldCharType="end"/>
      </w:r>
    </w:p>
    <w:p w14:paraId="47D2F394" w14:textId="77777777" w:rsidR="00D86E68" w:rsidRDefault="00D86E68"/>
    <w:p w14:paraId="28101E30" w14:textId="77777777" w:rsidR="00D86E68" w:rsidRDefault="00D86E68">
      <w:r>
        <w:t>Pradeep</w:t>
      </w:r>
    </w:p>
    <w:p w14:paraId="4893FAE8" w14:textId="72F06285" w:rsidR="00D86E68" w:rsidRDefault="00D86E68">
      <w:r>
        <w:fldChar w:fldCharType="begin"/>
      </w:r>
      <w:r>
        <w:instrText>ADDIN F1000_CSL_CITATION&lt;~#@#~&gt;[{"DOI":"10.7554/eLife.27810","First":false,"Last":false,"PMCID":"PMC5538825","PMID":"28686159","abstract":"Ras proteins are highly conserved signaling molecules that exhibit regulated, nucleotide-dependent switching between active and inactive states. The high conservation of Ras requires mechanistic explanation, especially given the general mutational tolerance of proteins. Here, we use deep mutational scanning, biochemical analysis and molecular simulations to understand constraints on Ras sequence. Ras exhibits global sensitivity to mutation when regulated by a GTPase activating protein and a nucleotide exchange factor. Removing the regulators shifts the distribution of mutational effects to be largely neutral, and reveals hotspots of activating mutations in residues that restrain Ras dynamics and promote the inactive state. Evolutionary analysis, combined with structural and mutational data, argue that Ras has co-evolved with its regulators in the vertebrate lineage. Overall, our results show that sequence conservation in Ras depends strongly on the biochemical network in which it operates, providing a framework for understanding the origin of global selection pressures on proteins.","author":[{"family":"Bandaru","given":"Pradeep"},{"family":"Shah","given":"Neel H"},{"family":"Bhattacharyya","given":"Moitrayee"},{"family":"Barton","given":"John P"},{"family":"Kondo","given":"Yasushi"},{"family":"Cofsky","given":"Joshua C"},{"family":"Gee","given":"Christine L"},{"family":"Chakraborty","given":"Arup K"},{"family":"Kortemme","given":"Tanja"},{"family":"Ranganathan","given":"Rama"},{"family":"Kuriyan","given":"John"}],"authorYearDisplayFormat":false,"citation-label":"3929009","container-title":"eLife","container-title-short":"elife","id":"3929009","invisible":false,"issued":{"date-parts":[["2017","7","7"]]},"journalAbbreviation":"elife","suppress-author":false,"title":"Deconstruction of the Ras switching cycle through saturation mutagenesis.","type":"article-journal","volume":"6"}]</w:instrText>
      </w:r>
      <w:r>
        <w:fldChar w:fldCharType="separate"/>
      </w:r>
      <w:r w:rsidRPr="00D86E68">
        <w:rPr>
          <w:noProof/>
        </w:rPr>
        <w:t>(Bandaru et al., 2017)</w:t>
      </w:r>
      <w:r>
        <w:fldChar w:fldCharType="end"/>
      </w:r>
    </w:p>
    <w:p w14:paraId="5031144F" w14:textId="65818144" w:rsidR="00D86E68" w:rsidRDefault="00D86E68"/>
    <w:p w14:paraId="3448F81A" w14:textId="22C65FF1" w:rsidR="00D86E68" w:rsidRDefault="00D86E68">
      <w:proofErr w:type="spellStart"/>
      <w:r>
        <w:t>Logomaker</w:t>
      </w:r>
      <w:proofErr w:type="spellEnd"/>
    </w:p>
    <w:p w14:paraId="6F4A7ACF" w14:textId="2F153784" w:rsidR="000A1324" w:rsidRDefault="00D86E68">
      <w:r>
        <w:fldChar w:fldCharType="begin"/>
      </w:r>
      <w:r>
        <w:instrText>ADDIN F1000_CSL_CITATION&lt;~#@#~&gt;[{"DOI":"10.1093/bioinformatics/btz921","First":false,"Last":false,"PMCID":"PMC7141850","PMID":"31821414","abstract":"&lt;strong&gt;SUMMARY:&lt;/strong&gt; Sequence logos are visually compelling ways of illustrating the biological properties of DNA, RNA and protein sequences, yet it is currently difficult to generate and customize such logos within the Python programming environment. Here we introduce Logomaker, a Python API for creating publication-quality sequence logos. Logomaker can produce both standard and highly customized logos from either a matrix-like array of numbers or a multiple-sequence alignment. Logos are rendered as native matplotlib objects that are easy to stylize and incorporate into multi-panel figures.&lt;br&gt;&lt;br&gt;&lt;strong&gt;AVAILABILITY AND IMPLEMENTATION:&lt;/strong&gt; Logomaker can be installed using the pip package manager and is compatible with both Python 2.7 and Python 3.6. Documentation is provided at http://logomaker.readthedocs.io; source code is available at http://github.com/jbkinney/logomaker.&lt;br&gt;&lt;br&gt;© The Author(s) 2019. Published by Oxford University Press.","author":[{"family":"Tareen","given":"Ammar"},{"family":"Kinney","given":"Justin B"}],"authorYearDisplayFormat":false,"citation-label":"8225142","container-title":"Bioinformatics","container-title-short":"Bioinformatics","id":"8225142","invisible":false,"issue":"7","issued":{"date-parts":[["2020","4","1"]]},"journalAbbreviation":"Bioinformatics","page":"2272-2274","suppress-author":false,"title":"Logomaker: beautiful sequence logos in Python.","type":"article-journal","volume":"36"}]</w:instrText>
      </w:r>
      <w:r>
        <w:fldChar w:fldCharType="separate"/>
      </w:r>
      <w:r w:rsidRPr="00D86E68">
        <w:rPr>
          <w:noProof/>
        </w:rPr>
        <w:t>(Tareen &amp; Kinney, 2020)</w:t>
      </w:r>
      <w:r>
        <w:fldChar w:fldCharType="end"/>
      </w:r>
      <w:r w:rsidR="000A1324">
        <w:br w:type="page"/>
      </w:r>
    </w:p>
    <w:p w14:paraId="554C44CC" w14:textId="63CEB9E8" w:rsidR="00DC0578" w:rsidRDefault="000A1324">
      <w:r>
        <w:lastRenderedPageBreak/>
        <w:t>Bibliography</w:t>
      </w:r>
    </w:p>
    <w:p w14:paraId="6C01E80E" w14:textId="77777777" w:rsidR="00D86E68" w:rsidRPr="00D86E68" w:rsidRDefault="000A1324">
      <w:pPr>
        <w:widowControl w:val="0"/>
        <w:autoSpaceDE w:val="0"/>
        <w:autoSpaceDN w:val="0"/>
        <w:adjustRightInd w:val="0"/>
        <w:rPr>
          <w:rFonts w:ascii="Calibri" w:hAnsi="Calibri" w:cs="Calibri"/>
          <w:noProof/>
        </w:rPr>
      </w:pPr>
      <w:r>
        <w:fldChar w:fldCharType="begin"/>
      </w:r>
      <w:r w:rsidR="00D86E68">
        <w:instrText>ADDIN F1000_CSL_BIBLIOGRAPHY</w:instrText>
      </w:r>
      <w:r>
        <w:fldChar w:fldCharType="separate"/>
      </w:r>
    </w:p>
    <w:p w14:paraId="20304C16" w14:textId="77777777" w:rsidR="00D86E68" w:rsidRPr="00D86E68" w:rsidRDefault="00D86E68">
      <w:pPr>
        <w:widowControl w:val="0"/>
        <w:autoSpaceDE w:val="0"/>
        <w:autoSpaceDN w:val="0"/>
        <w:adjustRightInd w:val="0"/>
        <w:ind w:left="720" w:hanging="720"/>
        <w:rPr>
          <w:rFonts w:ascii="Calibri" w:hAnsi="Calibri" w:cs="Calibri"/>
          <w:noProof/>
        </w:rPr>
      </w:pPr>
      <w:r w:rsidRPr="00D86E68">
        <w:rPr>
          <w:rFonts w:ascii="Calibri" w:hAnsi="Calibri" w:cs="Calibri"/>
          <w:noProof/>
        </w:rPr>
        <w:t xml:space="preserve">Bandaru, P., Shah, N. H., Bhattacharyya, M., Barton, J. P., Kondo, Y., Cofsky, J. C., … Kuriyan, J. (2017). Deconstruction of the Ras switching cycle through saturation mutagenesis. </w:t>
      </w:r>
      <w:r w:rsidRPr="00D86E68">
        <w:rPr>
          <w:rFonts w:ascii="Calibri" w:hAnsi="Calibri" w:cs="Calibri"/>
          <w:i/>
          <w:iCs/>
          <w:noProof/>
        </w:rPr>
        <w:t>ELife</w:t>
      </w:r>
      <w:r w:rsidRPr="00D86E68">
        <w:rPr>
          <w:rFonts w:ascii="Calibri" w:hAnsi="Calibri" w:cs="Calibri"/>
          <w:noProof/>
        </w:rPr>
        <w:t xml:space="preserve">, </w:t>
      </w:r>
      <w:r w:rsidRPr="00D86E68">
        <w:rPr>
          <w:rFonts w:ascii="Calibri" w:hAnsi="Calibri" w:cs="Calibri"/>
          <w:i/>
          <w:iCs/>
          <w:noProof/>
        </w:rPr>
        <w:t>6</w:t>
      </w:r>
      <w:r w:rsidRPr="00D86E68">
        <w:rPr>
          <w:rFonts w:ascii="Calibri" w:hAnsi="Calibri" w:cs="Calibri"/>
          <w:noProof/>
        </w:rPr>
        <w:t>. doi:10.7554/eLife.27810</w:t>
      </w:r>
    </w:p>
    <w:p w14:paraId="77E3AA27" w14:textId="77777777" w:rsidR="00D86E68" w:rsidRPr="00D86E68" w:rsidRDefault="00D86E68">
      <w:pPr>
        <w:widowControl w:val="0"/>
        <w:autoSpaceDE w:val="0"/>
        <w:autoSpaceDN w:val="0"/>
        <w:adjustRightInd w:val="0"/>
        <w:ind w:left="720" w:hanging="720"/>
        <w:rPr>
          <w:rFonts w:ascii="Calibri" w:hAnsi="Calibri" w:cs="Calibri"/>
          <w:noProof/>
        </w:rPr>
      </w:pPr>
      <w:r w:rsidRPr="00D86E68">
        <w:rPr>
          <w:rFonts w:ascii="Calibri" w:hAnsi="Calibri" w:cs="Calibri"/>
          <w:noProof/>
        </w:rPr>
        <w:t xml:space="preserve">Dou, J., Vorobieva, A., Sheffler, W., Doyle, L., Park, H., Bick, M., … Baker, D. (2018). De Novo Design Of A Fluorescence-Activating Β-Barrel. </w:t>
      </w:r>
      <w:r w:rsidRPr="00D86E68">
        <w:rPr>
          <w:rFonts w:ascii="Calibri" w:hAnsi="Calibri" w:cs="Calibri"/>
          <w:i/>
          <w:iCs/>
          <w:noProof/>
        </w:rPr>
        <w:t>Zenodo</w:t>
      </w:r>
      <w:r w:rsidRPr="00D86E68">
        <w:rPr>
          <w:rFonts w:ascii="Calibri" w:hAnsi="Calibri" w:cs="Calibri"/>
          <w:noProof/>
        </w:rPr>
        <w:t>. doi:10.5281/zenodo.1216229</w:t>
      </w:r>
    </w:p>
    <w:p w14:paraId="740382EA" w14:textId="77777777" w:rsidR="00D86E68" w:rsidRPr="00D86E68" w:rsidRDefault="00D86E68">
      <w:pPr>
        <w:widowControl w:val="0"/>
        <w:autoSpaceDE w:val="0"/>
        <w:autoSpaceDN w:val="0"/>
        <w:adjustRightInd w:val="0"/>
        <w:ind w:left="720" w:hanging="720"/>
        <w:rPr>
          <w:rFonts w:ascii="Calibri" w:hAnsi="Calibri" w:cs="Calibri"/>
          <w:noProof/>
        </w:rPr>
      </w:pPr>
      <w:r w:rsidRPr="00D86E68">
        <w:rPr>
          <w:rFonts w:ascii="Calibri" w:hAnsi="Calibri" w:cs="Calibri"/>
          <w:noProof/>
        </w:rPr>
        <w:t xml:space="preserve">Fernandes, J. D., Faust, T. B., Strauli, N. B., Smith, C., Crosby, D. C., Nakamura, R. L., … Frankel, A. D. (2016). Functional segregation of overlapping genes in HIV. </w:t>
      </w:r>
      <w:r w:rsidRPr="00D86E68">
        <w:rPr>
          <w:rFonts w:ascii="Calibri" w:hAnsi="Calibri" w:cs="Calibri"/>
          <w:i/>
          <w:iCs/>
          <w:noProof/>
        </w:rPr>
        <w:t>Cell</w:t>
      </w:r>
      <w:r w:rsidRPr="00D86E68">
        <w:rPr>
          <w:rFonts w:ascii="Calibri" w:hAnsi="Calibri" w:cs="Calibri"/>
          <w:noProof/>
        </w:rPr>
        <w:t xml:space="preserve">, </w:t>
      </w:r>
      <w:r w:rsidRPr="00D86E68">
        <w:rPr>
          <w:rFonts w:ascii="Calibri" w:hAnsi="Calibri" w:cs="Calibri"/>
          <w:i/>
          <w:iCs/>
          <w:noProof/>
        </w:rPr>
        <w:t>167</w:t>
      </w:r>
      <w:r w:rsidRPr="00D86E68">
        <w:rPr>
          <w:rFonts w:ascii="Calibri" w:hAnsi="Calibri" w:cs="Calibri"/>
          <w:noProof/>
        </w:rPr>
        <w:t>(7), 1762–1773.e12. doi:10.1016/j.cell.2016.11.031</w:t>
      </w:r>
    </w:p>
    <w:p w14:paraId="45C248D0" w14:textId="77777777" w:rsidR="00D86E68" w:rsidRPr="00D86E68" w:rsidRDefault="00D86E68">
      <w:pPr>
        <w:widowControl w:val="0"/>
        <w:autoSpaceDE w:val="0"/>
        <w:autoSpaceDN w:val="0"/>
        <w:adjustRightInd w:val="0"/>
        <w:ind w:left="720" w:hanging="720"/>
        <w:rPr>
          <w:rFonts w:ascii="Calibri" w:hAnsi="Calibri" w:cs="Calibri"/>
          <w:noProof/>
        </w:rPr>
      </w:pPr>
      <w:r w:rsidRPr="00D86E68">
        <w:rPr>
          <w:rFonts w:ascii="Calibri" w:hAnsi="Calibri" w:cs="Calibri"/>
          <w:noProof/>
        </w:rPr>
        <w:t xml:space="preserve">Livesey, B. J., &amp; Marsh, J. A. (2020). Using deep mutational scanning to benchmark variant effect predictors and identify disease mutations. </w:t>
      </w:r>
      <w:r w:rsidRPr="00D86E68">
        <w:rPr>
          <w:rFonts w:ascii="Calibri" w:hAnsi="Calibri" w:cs="Calibri"/>
          <w:i/>
          <w:iCs/>
          <w:noProof/>
        </w:rPr>
        <w:t>Molecular Systems Biology</w:t>
      </w:r>
      <w:r w:rsidRPr="00D86E68">
        <w:rPr>
          <w:rFonts w:ascii="Calibri" w:hAnsi="Calibri" w:cs="Calibri"/>
          <w:noProof/>
        </w:rPr>
        <w:t xml:space="preserve">, </w:t>
      </w:r>
      <w:r w:rsidRPr="00D86E68">
        <w:rPr>
          <w:rFonts w:ascii="Calibri" w:hAnsi="Calibri" w:cs="Calibri"/>
          <w:i/>
          <w:iCs/>
          <w:noProof/>
        </w:rPr>
        <w:t>16</w:t>
      </w:r>
      <w:r w:rsidRPr="00D86E68">
        <w:rPr>
          <w:rFonts w:ascii="Calibri" w:hAnsi="Calibri" w:cs="Calibri"/>
          <w:noProof/>
        </w:rPr>
        <w:t>(7), e9380. doi:10.15252/msb.20199380</w:t>
      </w:r>
    </w:p>
    <w:p w14:paraId="49702C81" w14:textId="77777777" w:rsidR="00D86E68" w:rsidRPr="00D86E68" w:rsidRDefault="00D86E68">
      <w:pPr>
        <w:widowControl w:val="0"/>
        <w:autoSpaceDE w:val="0"/>
        <w:autoSpaceDN w:val="0"/>
        <w:adjustRightInd w:val="0"/>
        <w:ind w:left="720" w:hanging="720"/>
        <w:rPr>
          <w:rFonts w:ascii="Calibri" w:hAnsi="Calibri" w:cs="Calibri"/>
          <w:noProof/>
        </w:rPr>
      </w:pPr>
      <w:r w:rsidRPr="00D86E68">
        <w:rPr>
          <w:rFonts w:ascii="Calibri" w:hAnsi="Calibri" w:cs="Calibri"/>
          <w:noProof/>
        </w:rPr>
        <w:t xml:space="preserve">Melnikov, A., Rogov, P., Wang, L., Gnirke, A., &amp; Mikkelsen, T. S. (2014). Comprehensive mutational scanning of a kinase in vivo reveals substrate-dependent fitness landscapes. </w:t>
      </w:r>
      <w:r w:rsidRPr="00D86E68">
        <w:rPr>
          <w:rFonts w:ascii="Calibri" w:hAnsi="Calibri" w:cs="Calibri"/>
          <w:i/>
          <w:iCs/>
          <w:noProof/>
        </w:rPr>
        <w:t>Nucleic Acids Research</w:t>
      </w:r>
      <w:r w:rsidRPr="00D86E68">
        <w:rPr>
          <w:rFonts w:ascii="Calibri" w:hAnsi="Calibri" w:cs="Calibri"/>
          <w:noProof/>
        </w:rPr>
        <w:t xml:space="preserve">, </w:t>
      </w:r>
      <w:r w:rsidRPr="00D86E68">
        <w:rPr>
          <w:rFonts w:ascii="Calibri" w:hAnsi="Calibri" w:cs="Calibri"/>
          <w:i/>
          <w:iCs/>
          <w:noProof/>
        </w:rPr>
        <w:t>42</w:t>
      </w:r>
      <w:r w:rsidRPr="00D86E68">
        <w:rPr>
          <w:rFonts w:ascii="Calibri" w:hAnsi="Calibri" w:cs="Calibri"/>
          <w:noProof/>
        </w:rPr>
        <w:t>(14), e112. doi:10.1093/nar/gku511</w:t>
      </w:r>
    </w:p>
    <w:p w14:paraId="6F681BA4" w14:textId="77777777" w:rsidR="00D86E68" w:rsidRPr="00D86E68" w:rsidRDefault="00D86E68">
      <w:pPr>
        <w:widowControl w:val="0"/>
        <w:autoSpaceDE w:val="0"/>
        <w:autoSpaceDN w:val="0"/>
        <w:adjustRightInd w:val="0"/>
        <w:ind w:left="720" w:hanging="720"/>
        <w:rPr>
          <w:rFonts w:ascii="Calibri" w:hAnsi="Calibri" w:cs="Calibri"/>
          <w:noProof/>
        </w:rPr>
      </w:pPr>
      <w:r w:rsidRPr="00D86E68">
        <w:rPr>
          <w:rFonts w:ascii="Calibri" w:hAnsi="Calibri" w:cs="Calibri"/>
          <w:noProof/>
        </w:rPr>
        <w:t xml:space="preserve">Newberry, R. W., Leong, J. T., Chow, E. D., Kampmann, M., &amp; DeGrado, W. F. (2020). Deep mutational scanning reveals the structural basis for α-synuclein activity. </w:t>
      </w:r>
      <w:r w:rsidRPr="00D86E68">
        <w:rPr>
          <w:rFonts w:ascii="Calibri" w:hAnsi="Calibri" w:cs="Calibri"/>
          <w:i/>
          <w:iCs/>
          <w:noProof/>
        </w:rPr>
        <w:t>Nature Chemical Biology</w:t>
      </w:r>
      <w:r w:rsidRPr="00D86E68">
        <w:rPr>
          <w:rFonts w:ascii="Calibri" w:hAnsi="Calibri" w:cs="Calibri"/>
          <w:noProof/>
        </w:rPr>
        <w:t xml:space="preserve">, </w:t>
      </w:r>
      <w:r w:rsidRPr="00D86E68">
        <w:rPr>
          <w:rFonts w:ascii="Calibri" w:hAnsi="Calibri" w:cs="Calibri"/>
          <w:i/>
          <w:iCs/>
          <w:noProof/>
        </w:rPr>
        <w:t>16</w:t>
      </w:r>
      <w:r w:rsidRPr="00D86E68">
        <w:rPr>
          <w:rFonts w:ascii="Calibri" w:hAnsi="Calibri" w:cs="Calibri"/>
          <w:noProof/>
        </w:rPr>
        <w:t>(6), 653–659. doi:10.1038/s41589-020-0480-6</w:t>
      </w:r>
    </w:p>
    <w:p w14:paraId="07F94710" w14:textId="77777777" w:rsidR="00D86E68" w:rsidRPr="00D86E68" w:rsidRDefault="00D86E68">
      <w:pPr>
        <w:widowControl w:val="0"/>
        <w:autoSpaceDE w:val="0"/>
        <w:autoSpaceDN w:val="0"/>
        <w:adjustRightInd w:val="0"/>
        <w:ind w:left="720" w:hanging="720"/>
        <w:rPr>
          <w:rFonts w:ascii="Calibri" w:hAnsi="Calibri" w:cs="Calibri"/>
          <w:noProof/>
        </w:rPr>
      </w:pPr>
      <w:r w:rsidRPr="00D86E68">
        <w:rPr>
          <w:rFonts w:ascii="Calibri" w:hAnsi="Calibri" w:cs="Calibri"/>
          <w:noProof/>
        </w:rPr>
        <w:t xml:space="preserve">Stiffler, M. A., Hekstra, D. R., &amp; Ranganathan, R. (2015). Evolvability as a function of purifying selection in TEM-1 β-lactamase. </w:t>
      </w:r>
      <w:r w:rsidRPr="00D86E68">
        <w:rPr>
          <w:rFonts w:ascii="Calibri" w:hAnsi="Calibri" w:cs="Calibri"/>
          <w:i/>
          <w:iCs/>
          <w:noProof/>
        </w:rPr>
        <w:t>Cell</w:t>
      </w:r>
      <w:r w:rsidRPr="00D86E68">
        <w:rPr>
          <w:rFonts w:ascii="Calibri" w:hAnsi="Calibri" w:cs="Calibri"/>
          <w:noProof/>
        </w:rPr>
        <w:t xml:space="preserve">, </w:t>
      </w:r>
      <w:r w:rsidRPr="00D86E68">
        <w:rPr>
          <w:rFonts w:ascii="Calibri" w:hAnsi="Calibri" w:cs="Calibri"/>
          <w:i/>
          <w:iCs/>
          <w:noProof/>
        </w:rPr>
        <w:t>160</w:t>
      </w:r>
      <w:r w:rsidRPr="00D86E68">
        <w:rPr>
          <w:rFonts w:ascii="Calibri" w:hAnsi="Calibri" w:cs="Calibri"/>
          <w:noProof/>
        </w:rPr>
        <w:t>(5), 882–892. doi:10.1016/j.cell.2015.01.035</w:t>
      </w:r>
    </w:p>
    <w:p w14:paraId="0127D442" w14:textId="77777777" w:rsidR="00D86E68" w:rsidRPr="00D86E68" w:rsidRDefault="00D86E68">
      <w:pPr>
        <w:widowControl w:val="0"/>
        <w:autoSpaceDE w:val="0"/>
        <w:autoSpaceDN w:val="0"/>
        <w:adjustRightInd w:val="0"/>
        <w:ind w:left="720" w:hanging="720"/>
        <w:rPr>
          <w:rFonts w:ascii="Calibri" w:hAnsi="Calibri" w:cs="Calibri"/>
          <w:noProof/>
        </w:rPr>
      </w:pPr>
      <w:r w:rsidRPr="00D86E68">
        <w:rPr>
          <w:rFonts w:ascii="Calibri" w:hAnsi="Calibri" w:cs="Calibri"/>
          <w:noProof/>
        </w:rPr>
        <w:t xml:space="preserve">Tareen, A., &amp; Kinney, J. B. (2020). Logomaker: beautiful sequence logos in Python. </w:t>
      </w:r>
      <w:r w:rsidRPr="00D86E68">
        <w:rPr>
          <w:rFonts w:ascii="Calibri" w:hAnsi="Calibri" w:cs="Calibri"/>
          <w:i/>
          <w:iCs/>
          <w:noProof/>
        </w:rPr>
        <w:t>Bioinformatics</w:t>
      </w:r>
      <w:r w:rsidRPr="00D86E68">
        <w:rPr>
          <w:rFonts w:ascii="Calibri" w:hAnsi="Calibri" w:cs="Calibri"/>
          <w:noProof/>
        </w:rPr>
        <w:t xml:space="preserve">, </w:t>
      </w:r>
      <w:r w:rsidRPr="00D86E68">
        <w:rPr>
          <w:rFonts w:ascii="Calibri" w:hAnsi="Calibri" w:cs="Calibri"/>
          <w:i/>
          <w:iCs/>
          <w:noProof/>
        </w:rPr>
        <w:t>36</w:t>
      </w:r>
      <w:r w:rsidRPr="00D86E68">
        <w:rPr>
          <w:rFonts w:ascii="Calibri" w:hAnsi="Calibri" w:cs="Calibri"/>
          <w:noProof/>
        </w:rPr>
        <w:t>(7), 2272–2274. doi:10.1093/bioinformatics/btz921</w:t>
      </w:r>
    </w:p>
    <w:p w14:paraId="7006983A" w14:textId="77777777" w:rsidR="00D86E68" w:rsidRPr="00D86E68" w:rsidRDefault="00D86E68">
      <w:pPr>
        <w:widowControl w:val="0"/>
        <w:autoSpaceDE w:val="0"/>
        <w:autoSpaceDN w:val="0"/>
        <w:adjustRightInd w:val="0"/>
        <w:ind w:left="720" w:hanging="720"/>
        <w:rPr>
          <w:rFonts w:ascii="Calibri" w:hAnsi="Calibri" w:cs="Calibri"/>
          <w:noProof/>
        </w:rPr>
      </w:pPr>
      <w:r w:rsidRPr="00D86E68">
        <w:rPr>
          <w:rFonts w:ascii="Calibri" w:hAnsi="Calibri" w:cs="Calibri"/>
          <w:noProof/>
        </w:rPr>
        <w:t xml:space="preserve">Weile, J., Sun, S., Cote, A. G., Knapp, J., Verby, M., Mellor, J. C., … Roth, F. P. (2017). A framework for exhaustively mapping functional missense variants. </w:t>
      </w:r>
      <w:r w:rsidRPr="00D86E68">
        <w:rPr>
          <w:rFonts w:ascii="Calibri" w:hAnsi="Calibri" w:cs="Calibri"/>
          <w:i/>
          <w:iCs/>
          <w:noProof/>
        </w:rPr>
        <w:t>Molecular Systems Biology</w:t>
      </w:r>
      <w:r w:rsidRPr="00D86E68">
        <w:rPr>
          <w:rFonts w:ascii="Calibri" w:hAnsi="Calibri" w:cs="Calibri"/>
          <w:noProof/>
        </w:rPr>
        <w:t xml:space="preserve">, </w:t>
      </w:r>
      <w:r w:rsidRPr="00D86E68">
        <w:rPr>
          <w:rFonts w:ascii="Calibri" w:hAnsi="Calibri" w:cs="Calibri"/>
          <w:i/>
          <w:iCs/>
          <w:noProof/>
        </w:rPr>
        <w:t>13</w:t>
      </w:r>
      <w:r w:rsidRPr="00D86E68">
        <w:rPr>
          <w:rFonts w:ascii="Calibri" w:hAnsi="Calibri" w:cs="Calibri"/>
          <w:noProof/>
        </w:rPr>
        <w:t>(12), 957. doi:10.15252/msb.20177908</w:t>
      </w:r>
    </w:p>
    <w:p w14:paraId="0CBEF4C4" w14:textId="480AE860" w:rsidR="000A1324" w:rsidRDefault="000A1324" w:rsidP="00D86E68">
      <w:pPr>
        <w:widowControl w:val="0"/>
        <w:autoSpaceDE w:val="0"/>
        <w:autoSpaceDN w:val="0"/>
        <w:adjustRightInd w:val="0"/>
      </w:pPr>
      <w:r>
        <w:fldChar w:fldCharType="end"/>
      </w:r>
    </w:p>
    <w:sectPr w:rsidR="000A1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CEC"/>
    <w:rsid w:val="00094CEC"/>
    <w:rsid w:val="000A1324"/>
    <w:rsid w:val="001631D7"/>
    <w:rsid w:val="00AC45DA"/>
    <w:rsid w:val="00BF70FF"/>
    <w:rsid w:val="00D86E68"/>
    <w:rsid w:val="00DC0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DAB33"/>
  <w15:chartTrackingRefBased/>
  <w15:docId w15:val="{8D0B57D7-CD9E-C540-A277-C4434FCA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2853</Words>
  <Characters>16266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Hidalgo</dc:creator>
  <cp:keywords/>
  <dc:description/>
  <cp:lastModifiedBy>Francisco Hidalgo</cp:lastModifiedBy>
  <cp:revision>5</cp:revision>
  <dcterms:created xsi:type="dcterms:W3CDTF">2020-09-14T01:08:00Z</dcterms:created>
  <dcterms:modified xsi:type="dcterms:W3CDTF">2020-09-14T02:44:00Z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http://www.zotero.org/styles/apa</vt:lpwstr>
  </property>
  <property fmtid="{D5CDD505-2E9C-101B-9397-08002B2CF9AE}" pid="3" name="InsertAsFootnote">
    <vt:lpwstr>0</vt:lpwstr>
  </property>
</Properties>
</file>