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pos="8928" w:val="right" w:leader="dot"/>
          <w:tab w:val="right" w:leader="dot" w:pos="9288"/>
        </w:tabs>
        <w:spacing w:after="100" w:line="288" w:lineRule="auto"/>
        <w:rPr>
          <w:lang w:eastAsia="ko-KR"/>
        </w:rPr>
      </w:pPr>
      <w:r>
        <w:t>1. 목적</w:t>
        <w:tab/>
        <w:t>5</w:t>
      </w:r>
    </w:p>
    <w:p w14:paraId="54E287A9" w14:textId="0B74D785" w:rsidR="008E371C" w:rsidRDefault="00F7078F">
      <w:pPr>
        <w:tabs>
          <w:tab w:pos="8928" w:val="right" w:leader="dot"/>
          <w:tab w:val="right" w:leader="dot" w:pos="9288"/>
        </w:tabs>
        <w:spacing w:after="100" w:line="288" w:lineRule="auto"/>
        <w:rPr>
          <w:lang w:eastAsia="ko-KR"/>
        </w:rPr>
      </w:pPr>
      <w:r>
        <w:t>2. 적용범위</w:t>
        <w:tab/>
        <w:t>5</w:t>
      </w:r>
    </w:p>
    <w:p w14:paraId="117B5097" w14:textId="7A1875C2" w:rsidR="008E371C" w:rsidRDefault="00F7078F">
      <w:pPr>
        <w:tabs>
          <w:tab w:pos="8928" w:val="right" w:leader="dot"/>
          <w:tab w:val="right" w:leader="dot" w:pos="9288"/>
        </w:tabs>
        <w:spacing w:after="100" w:line="288" w:lineRule="auto"/>
        <w:rPr>
          <w:lang w:eastAsia="ko-KR"/>
        </w:rPr>
      </w:pPr>
      <w:r>
        <w:t>3. 인용표준·용어 및 문서체계</w:t>
        <w:tab/>
        <w:t>5</w:t>
      </w:r>
    </w:p>
    <w:p w14:paraId="42CF5D70" w14:textId="6CBC2275" w:rsidR="008E371C" w:rsidRDefault="00F7078F">
      <w:pPr>
        <w:tabs>
          <w:tab w:pos="8928" w:val="right" w:leader="dot"/>
          <w:tab w:val="right" w:leader="dot" w:pos="9288"/>
        </w:tabs>
        <w:spacing w:after="100" w:line="288" w:lineRule="auto"/>
        <w:rPr>
          <w:lang w:eastAsia="ko-KR"/>
        </w:rPr>
      </w:pPr>
      <w:r>
        <w:t>4. 조직의 상황</w:t>
        <w:tab/>
        <w:t>6</w:t>
      </w:r>
    </w:p>
    <w:p w14:paraId="28406E73" w14:textId="24E4107F" w:rsidR="008E371C" w:rsidRDefault="00F7078F">
      <w:pPr>
        <w:tabs>
          <w:tab w:pos="8928" w:val="right" w:leader="dot"/>
          <w:tab w:val="right" w:leader="dot" w:pos="9288"/>
        </w:tabs>
        <w:spacing w:after="100" w:line="288" w:lineRule="auto"/>
        <w:rPr>
          <w:rFonts w:hint="eastAsia"/>
          <w:lang w:eastAsia="ko-KR"/>
        </w:rPr>
      </w:pPr>
      <w:r>
        <w:t>5. 리더십</w:t>
        <w:tab/>
        <w:t>7</w:t>
      </w:r>
    </w:p>
    <w:p w14:paraId="4ADA06AC" w14:textId="2EDDD2BE" w:rsidR="008E371C" w:rsidRDefault="00F7078F">
      <w:pPr>
        <w:tabs>
          <w:tab w:pos="8928" w:val="right" w:leader="dot"/>
          <w:tab w:val="right" w:leader="dot" w:pos="9288"/>
        </w:tabs>
        <w:spacing w:after="100" w:line="288" w:lineRule="auto"/>
        <w:rPr>
          <w:lang w:eastAsia="ko-KR"/>
        </w:rPr>
      </w:pPr>
      <w:r>
        <w:t>6. 기획</w:t>
        <w:tab/>
        <w:t>11</w:t>
      </w:r>
    </w:p>
    <w:p w14:paraId="293EC69C" w14:textId="54AE3436" w:rsidR="008E371C" w:rsidRDefault="00F7078F">
      <w:pPr>
        <w:tabs>
          <w:tab w:pos="8928" w:val="right" w:leader="dot"/>
          <w:tab w:val="right" w:leader="dot" w:pos="9288"/>
        </w:tabs>
        <w:spacing w:after="100" w:line="288" w:lineRule="auto"/>
        <w:rPr>
          <w:lang w:eastAsia="ko-KR"/>
        </w:rPr>
      </w:pPr>
      <w:r>
        <w:t>7. 지원</w:t>
        <w:tab/>
        <w:t>12</w:t>
      </w:r>
    </w:p>
    <w:p w14:paraId="68560525" w14:textId="6A789465" w:rsidR="008E371C" w:rsidRDefault="00F7078F">
      <w:pPr>
        <w:tabs>
          <w:tab w:pos="8928" w:val="right" w:leader="dot"/>
          <w:tab w:val="right" w:leader="dot" w:pos="9288"/>
        </w:tabs>
        <w:spacing w:after="100" w:line="288" w:lineRule="auto"/>
        <w:rPr>
          <w:rFonts w:hint="eastAsia"/>
          <w:lang w:eastAsia="ko-KR"/>
        </w:rPr>
      </w:pPr>
      <w:r>
        <w:t>8. 운용</w:t>
        <w:tab/>
        <w:t>20</w:t>
      </w:r>
    </w:p>
    <w:p w14:paraId="4710384E" w14:textId="2ABA187F" w:rsidR="008E371C" w:rsidRDefault="00F7078F">
      <w:pPr>
        <w:tabs>
          <w:tab w:pos="8928" w:val="right" w:leader="dot"/>
          <w:tab w:val="right" w:leader="dot" w:pos="9288"/>
        </w:tabs>
        <w:spacing w:after="100" w:line="288" w:lineRule="auto"/>
        <w:rPr>
          <w:rFonts w:hint="eastAsia"/>
          <w:lang w:eastAsia="ko-KR"/>
        </w:rPr>
      </w:pPr>
      <w:r>
        <w:t>9. 성과평가</w:t>
        <w:tab/>
        <w:t>26</w:t>
      </w:r>
    </w:p>
    <w:p w14:paraId="544CD656" w14:textId="05222A1D" w:rsidR="008E371C" w:rsidRDefault="00F7078F">
      <w:pPr>
        <w:tabs>
          <w:tab w:pos="8928" w:val="right" w:leader="dot"/>
          <w:tab w:val="right" w:leader="dot" w:pos="9288"/>
        </w:tabs>
        <w:spacing w:after="100" w:line="288" w:lineRule="auto"/>
        <w:rPr>
          <w:rFonts w:hint="eastAsia"/>
          <w:lang w:eastAsia="ko-KR"/>
        </w:rPr>
      </w:pPr>
      <w:r>
        <w:t>10. 개선</w:t>
        <w:tab/>
        <w:t>29</w:t>
      </w:r>
    </w:p>
    <w:p w14:paraId="22C77E75" w14:textId="5F98A5FD" w:rsidR="008E371C" w:rsidRDefault="00F7078F">
      <w:pPr>
        <w:tabs>
          <w:tab w:pos="8928" w:val="right" w:leader="dot"/>
          <w:tab w:val="right" w:leader="dot" w:pos="9288"/>
        </w:tabs>
        <w:spacing w:after="100" w:line="288" w:lineRule="auto"/>
        <w:rPr>
          <w:rFonts w:hint="eastAsia"/>
          <w:lang w:eastAsia="ko-KR"/>
        </w:rPr>
      </w:pPr>
      <w:r>
        <w:t>부록 A. 프로세스 맵</w:t>
        <w:tab/>
        <w:t>31</w:t>
      </w:r>
    </w:p>
    <w:p w14:paraId="5A4B007B" w14:textId="4F9E149C" w:rsidR="008E371C" w:rsidRDefault="00F7078F">
      <w:pPr>
        <w:tabs>
          <w:tab w:pos="8928" w:val="right" w:leader="dot"/>
          <w:tab w:val="right" w:leader="dot" w:pos="9288"/>
        </w:tabs>
        <w:spacing w:after="100" w:line="288" w:lineRule="auto"/>
        <w:rPr>
          <w:rFonts w:hint="eastAsia"/>
          <w:lang w:eastAsia="ko-KR"/>
        </w:rPr>
      </w:pPr>
      <w:r>
        <w:t>부록 B. 프로세스 상호작용 및 책임 매트릭스</w:t>
        <w:tab/>
        <w:t>31</w:t>
      </w:r>
    </w:p>
    <w:p w14:paraId="0A5E4E72" w14:textId="5058AC99" w:rsidR="008E371C" w:rsidRDefault="00F7078F">
      <w:pPr>
        <w:tabs>
          <w:tab w:pos="8928" w:val="right" w:leader="dot"/>
          <w:tab w:val="right" w:leader="dot" w:pos="9288"/>
        </w:tabs>
        <w:spacing w:after="100" w:line="288" w:lineRule="auto"/>
        <w:rPr>
          <w:rFonts w:hint="eastAsia"/>
          <w:lang w:eastAsia="ko-KR"/>
        </w:rPr>
      </w:pPr>
      <w:r>
        <w:t>부록 C. QP/WI/FM 연계 기본표</w:t>
        <w:tab/>
        <w:t>32</w:t>
      </w:r>
    </w:p>
    <w:p w14:paraId="5EF42422" w14:textId="2FFF2856" w:rsidR="008E371C" w:rsidRDefault="00F7078F">
      <w:pPr>
        <w:tabs>
          <w:tab w:pos="8928" w:val="right" w:leader="dot"/>
          <w:tab w:val="right" w:leader="dot" w:pos="9288"/>
        </w:tabs>
        <w:spacing w:after="100" w:line="288" w:lineRule="auto"/>
        <w:rPr>
          <w:rFonts w:hint="eastAsia"/>
          <w:lang w:eastAsia="ko-KR"/>
        </w:rPr>
      </w:pPr>
      <w:r>
        <w:t>부록 D. 지원 프로세스 KPI</w:t>
        <w:tab/>
        <w:t>32</w:t>
      </w:r>
    </w:p>
    <w:p w14:paraId="571B1972" w14:textId="2A8A4881" w:rsidR="008E371C" w:rsidRDefault="00F7078F">
      <w:pPr>
        <w:tabs>
          <w:tab w:pos="8928" w:val="right" w:leader="dot"/>
          <w:tab w:val="right" w:leader="dot" w:pos="9288"/>
        </w:tabs>
        <w:spacing w:after="100" w:line="288" w:lineRule="auto"/>
        <w:rPr>
          <w:rFonts w:hint="eastAsia"/>
          <w:lang w:eastAsia="ko-KR"/>
        </w:rPr>
      </w:pPr>
      <w:r>
        <w:t>부록 E. 설비·측정·역량 관리 매트릭스</w:t>
        <w:tab/>
        <w:t>33</w:t>
      </w:r>
    </w:p>
    <w:p w14:paraId="45AC163C" w14:textId="70E2FA85" w:rsidR="008E371C" w:rsidRDefault="00F7078F">
      <w:pPr>
        <w:tabs>
          <w:tab w:pos="8928" w:val="right" w:leader="dot"/>
          <w:tab w:val="right" w:leader="dot" w:pos="9288"/>
        </w:tabs>
        <w:spacing w:after="100" w:line="288" w:lineRule="auto"/>
        <w:rPr>
          <w:rFonts w:hint="eastAsia"/>
          <w:lang w:eastAsia="ko-KR"/>
        </w:rPr>
      </w:pPr>
      <w:r>
        <w:t>부록 F. 문서/기록 관리 기준</w:t>
        <w:tab/>
        <w:t>33</w:t>
      </w:r>
    </w:p>
    <w:p w14:paraId="75DDE43E" w14:textId="114541E5" w:rsidR="008E371C" w:rsidRDefault="00F7078F">
      <w:pPr>
        <w:tabs>
          <w:tab w:pos="8928" w:val="right" w:leader="dot"/>
          <w:tab w:val="right" w:leader="dot" w:pos="9288"/>
        </w:tabs>
        <w:spacing w:after="100" w:line="288" w:lineRule="auto"/>
        <w:rPr>
          <w:rFonts w:hint="eastAsia"/>
          <w:lang w:eastAsia="ko-KR"/>
        </w:rPr>
      </w:pPr>
      <w:r>
        <w:t>부록 G. 운용 프로세스 맵</w:t>
        <w:tab/>
        <w:t>33</w:t>
      </w:r>
    </w:p>
    <w:p w14:paraId="5C8A26AB" w14:textId="276BF50F" w:rsidR="008E371C" w:rsidRDefault="00F7078F">
      <w:pPr>
        <w:tabs>
          <w:tab w:pos="8928" w:val="right" w:leader="dot"/>
          <w:tab w:val="right" w:leader="dot" w:pos="9288"/>
        </w:tabs>
        <w:spacing w:after="100" w:line="288" w:lineRule="auto"/>
        <w:rPr>
          <w:rFonts w:hint="eastAsia"/>
          <w:lang w:eastAsia="ko-KR"/>
        </w:rPr>
      </w:pPr>
      <w:r>
        <w:t>부록 H. Core Tools 연계 매트릭스</w:t>
        <w:tab/>
        <w:t>33</w:t>
      </w:r>
    </w:p>
    <w:p w14:paraId="3AFA499C" w14:textId="1DB2544B" w:rsidR="008E371C" w:rsidRDefault="00F7078F">
      <w:pPr>
        <w:tabs>
          <w:tab w:pos="8928" w:val="right" w:leader="dot"/>
          <w:tab w:val="right" w:leader="dot" w:pos="9288"/>
        </w:tabs>
        <w:spacing w:after="100" w:line="288" w:lineRule="auto"/>
        <w:rPr>
          <w:rFonts w:hint="eastAsia"/>
          <w:lang w:eastAsia="ko-KR"/>
        </w:rPr>
      </w:pPr>
      <w:r>
        <w:t>부록 I. 4M 변경관리 체크포인트</w:t>
        <w:tab/>
        <w:t>34</w:t>
      </w:r>
    </w:p>
    <w:p w14:paraId="2EE6B732" w14:textId="279F1691" w:rsidR="008E371C" w:rsidRDefault="00F7078F">
      <w:pPr>
        <w:tabs>
          <w:tab w:pos="8928" w:val="right" w:leader="dot"/>
          <w:tab w:val="right" w:leader="dot" w:pos="9288"/>
        </w:tabs>
        <w:spacing w:after="100" w:line="288" w:lineRule="auto"/>
        <w:rPr>
          <w:rFonts w:hint="eastAsia"/>
          <w:lang w:eastAsia="ko-KR"/>
        </w:rPr>
      </w:pPr>
      <w:r>
        <w:t>부록 J. 경영성과 대시보드 기본 구조</w:t>
        <w:tab/>
        <w:t>34</w:t>
      </w:r>
    </w:p>
    <w:p w14:paraId="640EC49D" w14:textId="109DF156" w:rsidR="008E371C" w:rsidRDefault="00F7078F">
      <w:pPr>
        <w:tabs>
          <w:tab w:pos="8928" w:val="right" w:leader="dot"/>
          <w:tab w:val="right" w:leader="dot" w:pos="9288"/>
        </w:tabs>
        <w:spacing w:after="100" w:line="288" w:lineRule="auto"/>
        <w:rPr>
          <w:rFonts w:hint="eastAsia"/>
          <w:lang w:eastAsia="ko-KR"/>
        </w:rPr>
      </w:pPr>
      <w:r>
        <w:t>부록 K. 내부심사 연간 프로그램 기준</w:t>
        <w:tab/>
        <w:t>35</w:t>
      </w:r>
    </w:p>
    <w:p w14:paraId="2599B7DE" w14:textId="37CF02B0" w:rsidR="008E371C" w:rsidRDefault="00F7078F">
      <w:pPr>
        <w:tabs>
          <w:tab w:pos="8928" w:val="right" w:leader="dot"/>
          <w:tab w:val="right" w:leader="dot" w:pos="9288"/>
        </w:tabs>
        <w:spacing w:after="100" w:line="288" w:lineRule="auto"/>
        <w:rPr>
          <w:rFonts w:hint="eastAsia"/>
          <w:lang w:eastAsia="ko-KR"/>
        </w:rPr>
      </w:pPr>
      <w:r>
        <w:t>부록 L. 경영검토 Action 관리표</w:t>
        <w:tab/>
        <w:t>35</w:t>
      </w:r>
    </w:p>
    <w:p w14:paraId="152F8AA8" w14:textId="6B39D51F" w:rsidR="008E371C" w:rsidRDefault="00F7078F">
      <w:pPr>
        <w:tabs>
          <w:tab w:pos="8928" w:val="right" w:leader="dot"/>
          <w:tab w:val="right" w:leader="dot" w:pos="9288"/>
        </w:tabs>
        <w:spacing w:after="100" w:line="288" w:lineRule="auto"/>
        <w:rPr>
          <w:rFonts w:hint="eastAsia"/>
          <w:lang w:eastAsia="ko-KR"/>
        </w:rPr>
      </w:pPr>
      <w:r>
        <w:t>부록 M. 시정조치 효과성 판정 기준</w:t>
        <w:tab/>
        <w:t>35</w:t>
      </w:r>
    </w:p>
    <w:p w14:paraId="5BE6FBB0" w14:textId="5CBA5475" w:rsidR="008E371C" w:rsidRDefault="00F7078F">
      <w:pPr>
        <w:tabs>
          <w:tab w:pos="8928" w:val="right" w:leader="dot"/>
          <w:tab w:val="right" w:leader="dot" w:pos="9288"/>
        </w:tabs>
        <w:spacing w:after="100" w:line="288" w:lineRule="auto"/>
        <w:rPr>
          <w:rFonts w:hint="eastAsia"/>
          <w:lang w:eastAsia="ko-KR"/>
        </w:rPr>
      </w:pPr>
      <w:r>
        <w:t>부록 N. 인증심사 확인 포인트</w:t>
        <w:tab/>
        <w:t>35</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pPr>
        <w:pageBreakBefore/>
        <w:spacing w:before="0" w:after="0" w:line="240" w:lineRule="auto"/>
      </w:pPr>
      <w:r>
        <w:drawing>
          <wp:inline xmlns:a="http://schemas.openxmlformats.org/drawingml/2006/main" xmlns:pic="http://schemas.openxmlformats.org/drawingml/2006/picture">
            <wp:extent cx="5760720" cy="6840855"/>
            <wp:docPr id="1" name="Picture 1"/>
            <wp:cNvGraphicFramePr>
              <a:graphicFrameLocks noChangeAspect="1"/>
            </wp:cNvGraphicFramePr>
            <a:graphic>
              <a:graphicData uri="http://schemas.openxmlformats.org/drawingml/2006/picture">
                <pic:pic>
                  <pic:nvPicPr>
                    <pic:cNvPr id="0" name="조직도와핵심업무_한장.png"/>
                    <pic:cNvPicPr/>
                  </pic:nvPicPr>
                  <pic:blipFill>
                    <a:blip r:embed="rId40"/>
                    <a:stretch>
                      <a:fillRect/>
                    </a:stretch>
                  </pic:blipFill>
                  <pic:spPr>
                    <a:xfrm>
                      <a:off x="0" y="0"/>
                      <a:ext cx="5760720" cy="6840855"/>
                    </a:xfrm>
                    <a:prstGeom prst="rect"/>
                  </pic:spPr>
                </pic:pic>
              </a:graphicData>
            </a:graphic>
          </wp:inline>
        </w:drawing>
      </w:r>
    </w:p>
    <w:p>
      <w:pPr>
        <w:pageBreakBefore/>
      </w:pPr>
      <w:r>
        <w:t>조직 및 업무분장 관리</w:t>
      </w:r>
    </w:p>
    <w:p>
      <w:r>
        <w:t>본 매뉴얼 5.3의 조직도 및 담당자별 업무 페이지에 부서, 직책, 성명, 겸임 및 담당자별 핵심 업무를 직접 관리한다. 경영관리팀은 CFO 관할이며, 그 외 본부 및 선행품질팀은 대표이사 관할로 표시한다. 상세 QMS 책임·권한은 앞의 역할 표 및 관련 절차서에 따른다.</w:t>
      </w:r>
    </w:p>
    <w:p>
      <w:r>
        <w:t>인사이동, 담당 업무, 겸임, 조직구조 또는 권한 변경 시 해당 부서장이 변경내용을 확인하고 문서관리 절차에 따라 본 매뉴얼의 검토·승인·개정 및 배포를 수행한다. 변경 후 구본을 회수하고 관련자에게 변경사항을 전달한다. 조직도와 공식 역할 지정이 다르면 적용 전에 권한자의 확인을 받는다.</w:t>
      </w:r>
    </w:p>
    <w:p>
      <w:r>
        <w:t>SH-QM-001-A01은 본문 통합본의 승인 시 본문으로 통합하여 별도 유효본으로 중복 관리하지 않는다. 승인 전까지는 기존 문서의 유효성 판단 및 구본 전환을 문서관리 담당자가 통제한다.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